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237E60" w14:textId="77777777" w:rsidR="0002441C" w:rsidRDefault="0002441C">
      <w:pPr>
        <w:tabs>
          <w:tab w:val="center" w:pos="3600"/>
          <w:tab w:val="right" w:pos="8640"/>
        </w:tabs>
        <w:rPr>
          <w:rFonts w:ascii="Montserrat" w:eastAsia="Montserrat" w:hAnsi="Montserrat" w:cs="Montserrat"/>
          <w:b/>
          <w:bCs/>
          <w:sz w:val="20"/>
          <w:szCs w:val="20"/>
        </w:rPr>
      </w:pPr>
    </w:p>
    <w:p w14:paraId="43B3F706" w14:textId="77777777" w:rsidR="0002441C" w:rsidRDefault="00000000">
      <w:pPr>
        <w:pStyle w:val="Heading1"/>
        <w:rPr>
          <w:rFonts w:ascii="Calibri" w:eastAsia="Calibri" w:hAnsi="Calibri" w:cs="Calibri"/>
          <w:sz w:val="28"/>
          <w:szCs w:val="28"/>
        </w:rPr>
      </w:pPr>
      <w:r>
        <w:rPr>
          <w:rFonts w:ascii="Calibri" w:eastAsia="Calibri" w:hAnsi="Calibri" w:cs="Calibri"/>
          <w:sz w:val="28"/>
          <w:szCs w:val="28"/>
        </w:rPr>
        <w:t>Minutes of LGB Term 3</w:t>
      </w:r>
    </w:p>
    <w:p w14:paraId="6A188C53" w14:textId="77777777" w:rsidR="0002441C" w:rsidRDefault="00000000">
      <w:pPr>
        <w:widowControl/>
        <w:pBdr>
          <w:top w:val="nil"/>
          <w:left w:val="nil"/>
          <w:bottom w:val="nil"/>
          <w:right w:val="nil"/>
          <w:between w:val="nil"/>
        </w:pBdr>
        <w:spacing w:line="276" w:lineRule="auto"/>
        <w:jc w:val="center"/>
        <w:rPr>
          <w:rFonts w:ascii="Calibri" w:eastAsia="Calibri" w:hAnsi="Calibri" w:cs="Calibri"/>
          <w:color w:val="000000"/>
          <w:sz w:val="20"/>
          <w:szCs w:val="20"/>
        </w:rPr>
      </w:pPr>
      <w:r>
        <w:rPr>
          <w:rFonts w:ascii="Calibri" w:eastAsia="Calibri" w:hAnsi="Calibri" w:cs="Calibri"/>
          <w:color w:val="000000"/>
        </w:rPr>
        <w:t>Wednesday 4</w:t>
      </w:r>
      <w:r>
        <w:rPr>
          <w:rFonts w:ascii="Calibri" w:eastAsia="Calibri" w:hAnsi="Calibri" w:cs="Calibri"/>
          <w:color w:val="000000"/>
          <w:vertAlign w:val="superscript"/>
        </w:rPr>
        <w:t>th</w:t>
      </w:r>
      <w:r>
        <w:rPr>
          <w:rFonts w:ascii="Calibri" w:eastAsia="Calibri" w:hAnsi="Calibri" w:cs="Calibri"/>
          <w:color w:val="000000"/>
        </w:rPr>
        <w:t xml:space="preserve"> February 2026 at 18:15</w:t>
      </w:r>
    </w:p>
    <w:p w14:paraId="4ACC429D" w14:textId="77777777" w:rsidR="0002441C" w:rsidRDefault="00000000">
      <w:pPr>
        <w:widowControl/>
        <w:pBdr>
          <w:top w:val="nil"/>
          <w:left w:val="nil"/>
          <w:bottom w:val="nil"/>
          <w:right w:val="nil"/>
          <w:between w:val="nil"/>
        </w:pBdr>
        <w:spacing w:line="276" w:lineRule="auto"/>
        <w:jc w:val="center"/>
        <w:rPr>
          <w:rFonts w:ascii="Calibri" w:eastAsia="Calibri" w:hAnsi="Calibri" w:cs="Calibri"/>
          <w:color w:val="000000"/>
          <w:sz w:val="20"/>
          <w:szCs w:val="20"/>
        </w:rPr>
      </w:pPr>
      <w:r>
        <w:rPr>
          <w:rFonts w:ascii="Calibri" w:eastAsia="Calibri" w:hAnsi="Calibri" w:cs="Calibri"/>
          <w:color w:val="000000"/>
        </w:rPr>
        <w:t>Henleaze Schools</w:t>
      </w:r>
      <w:r>
        <w:rPr>
          <w:rFonts w:ascii="Calibri" w:eastAsia="Calibri" w:hAnsi="Calibri" w:cs="Calibri"/>
          <w:color w:val="000000"/>
          <w:sz w:val="20"/>
          <w:szCs w:val="20"/>
        </w:rPr>
        <w:t xml:space="preserve"> </w:t>
      </w:r>
    </w:p>
    <w:p w14:paraId="1924618C" w14:textId="77777777" w:rsidR="0002441C" w:rsidRDefault="0002441C">
      <w:pPr>
        <w:tabs>
          <w:tab w:val="center" w:pos="3600"/>
          <w:tab w:val="right" w:pos="8640"/>
        </w:tabs>
        <w:rPr>
          <w:rFonts w:ascii="Montserrat" w:eastAsia="Montserrat" w:hAnsi="Montserrat" w:cs="Montserrat"/>
          <w:sz w:val="20"/>
          <w:szCs w:val="20"/>
        </w:rPr>
      </w:pPr>
    </w:p>
    <w:tbl>
      <w:tblPr>
        <w:tblStyle w:val="af7"/>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9"/>
        <w:gridCol w:w="2836"/>
        <w:gridCol w:w="1134"/>
        <w:gridCol w:w="1560"/>
        <w:gridCol w:w="1274"/>
        <w:gridCol w:w="993"/>
      </w:tblGrid>
      <w:tr w:rsidR="0002441C" w14:paraId="0DB63025" w14:textId="77777777">
        <w:trPr>
          <w:jc w:val="center"/>
        </w:trPr>
        <w:tc>
          <w:tcPr>
            <w:tcW w:w="2409" w:type="dxa"/>
            <w:tcBorders>
              <w:bottom w:val="single" w:sz="4" w:space="0" w:color="000000"/>
            </w:tcBorders>
            <w:shd w:val="clear" w:color="auto" w:fill="C6D9F1"/>
          </w:tcPr>
          <w:p w14:paraId="23BEE98A" w14:textId="77777777" w:rsidR="0002441C"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Name</w:t>
            </w:r>
          </w:p>
        </w:tc>
        <w:tc>
          <w:tcPr>
            <w:tcW w:w="2836" w:type="dxa"/>
            <w:tcBorders>
              <w:bottom w:val="single" w:sz="4" w:space="0" w:color="000000"/>
            </w:tcBorders>
            <w:shd w:val="clear" w:color="auto" w:fill="C6D9F1"/>
          </w:tcPr>
          <w:p w14:paraId="6E121704" w14:textId="77777777" w:rsidR="0002441C"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Position</w:t>
            </w:r>
          </w:p>
        </w:tc>
        <w:tc>
          <w:tcPr>
            <w:tcW w:w="1134" w:type="dxa"/>
            <w:tcBorders>
              <w:bottom w:val="single" w:sz="4" w:space="0" w:color="000000"/>
            </w:tcBorders>
            <w:shd w:val="clear" w:color="auto" w:fill="C6D9F1"/>
          </w:tcPr>
          <w:p w14:paraId="4709E405" w14:textId="77777777" w:rsidR="0002441C"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Initials</w:t>
            </w:r>
          </w:p>
        </w:tc>
        <w:tc>
          <w:tcPr>
            <w:tcW w:w="1560" w:type="dxa"/>
            <w:tcBorders>
              <w:bottom w:val="single" w:sz="4" w:space="0" w:color="000000"/>
            </w:tcBorders>
            <w:shd w:val="clear" w:color="auto" w:fill="C6D9F1"/>
            <w:vAlign w:val="center"/>
          </w:tcPr>
          <w:p w14:paraId="617D7F7D" w14:textId="77777777" w:rsidR="0002441C"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Attended</w:t>
            </w:r>
          </w:p>
        </w:tc>
        <w:tc>
          <w:tcPr>
            <w:tcW w:w="1274" w:type="dxa"/>
            <w:tcBorders>
              <w:bottom w:val="single" w:sz="4" w:space="0" w:color="000000"/>
            </w:tcBorders>
            <w:shd w:val="clear" w:color="auto" w:fill="C6D9F1"/>
            <w:vAlign w:val="center"/>
          </w:tcPr>
          <w:p w14:paraId="2690B8ED" w14:textId="77777777" w:rsidR="0002441C"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Apologies</w:t>
            </w:r>
          </w:p>
        </w:tc>
        <w:tc>
          <w:tcPr>
            <w:tcW w:w="993" w:type="dxa"/>
            <w:tcBorders>
              <w:bottom w:val="single" w:sz="4" w:space="0" w:color="000000"/>
            </w:tcBorders>
            <w:shd w:val="clear" w:color="auto" w:fill="C6D9F1"/>
            <w:vAlign w:val="center"/>
          </w:tcPr>
          <w:p w14:paraId="19131FC3" w14:textId="77777777" w:rsidR="0002441C" w:rsidRDefault="00000000">
            <w:pPr>
              <w:pBdr>
                <w:top w:val="nil"/>
                <w:left w:val="nil"/>
                <w:bottom w:val="nil"/>
                <w:right w:val="nil"/>
                <w:between w:val="nil"/>
              </w:pBdr>
              <w:rPr>
                <w:rFonts w:ascii="Calibri" w:eastAsia="Calibri" w:hAnsi="Calibri" w:cs="Calibri"/>
                <w:b/>
                <w:bCs/>
                <w:color w:val="000000"/>
              </w:rPr>
            </w:pPr>
            <w:r>
              <w:rPr>
                <w:rFonts w:ascii="Calibri" w:eastAsia="Calibri" w:hAnsi="Calibri" w:cs="Calibri"/>
                <w:b/>
                <w:bCs/>
                <w:color w:val="000000"/>
              </w:rPr>
              <w:t>Absent</w:t>
            </w:r>
          </w:p>
        </w:tc>
      </w:tr>
      <w:tr w:rsidR="0002441C" w14:paraId="0DA87C35"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2161A6AD"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Jude Bramton</w:t>
            </w:r>
          </w:p>
        </w:tc>
        <w:tc>
          <w:tcPr>
            <w:tcW w:w="2836" w:type="dxa"/>
            <w:tcBorders>
              <w:top w:val="single" w:sz="4" w:space="0" w:color="000000"/>
              <w:left w:val="single" w:sz="4" w:space="0" w:color="000000"/>
              <w:bottom w:val="single" w:sz="4" w:space="0" w:color="000000"/>
              <w:right w:val="single" w:sz="4" w:space="0" w:color="000000"/>
            </w:tcBorders>
          </w:tcPr>
          <w:p w14:paraId="3A440D45"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5FBDE269"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JuB</w:t>
            </w:r>
          </w:p>
        </w:tc>
        <w:tc>
          <w:tcPr>
            <w:tcW w:w="1560" w:type="dxa"/>
            <w:tcBorders>
              <w:top w:val="single" w:sz="4" w:space="0" w:color="000000"/>
              <w:left w:val="single" w:sz="4" w:space="0" w:color="000000"/>
              <w:bottom w:val="single" w:sz="4" w:space="0" w:color="000000"/>
              <w:right w:val="single" w:sz="4" w:space="0" w:color="000000"/>
            </w:tcBorders>
          </w:tcPr>
          <w:p w14:paraId="12A3C7E4"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30381EF7"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7408B8DA"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5783564F"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13B1BE38"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Luke Dormehl</w:t>
            </w:r>
          </w:p>
        </w:tc>
        <w:tc>
          <w:tcPr>
            <w:tcW w:w="2836" w:type="dxa"/>
            <w:tcBorders>
              <w:top w:val="single" w:sz="4" w:space="0" w:color="000000"/>
              <w:left w:val="single" w:sz="4" w:space="0" w:color="000000"/>
              <w:bottom w:val="single" w:sz="4" w:space="0" w:color="000000"/>
              <w:right w:val="single" w:sz="4" w:space="0" w:color="000000"/>
            </w:tcBorders>
          </w:tcPr>
          <w:p w14:paraId="24DB3054"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Parent Governor</w:t>
            </w:r>
          </w:p>
        </w:tc>
        <w:tc>
          <w:tcPr>
            <w:tcW w:w="1134" w:type="dxa"/>
            <w:tcBorders>
              <w:top w:val="single" w:sz="4" w:space="0" w:color="000000"/>
              <w:left w:val="single" w:sz="4" w:space="0" w:color="000000"/>
              <w:bottom w:val="single" w:sz="4" w:space="0" w:color="000000"/>
              <w:right w:val="single" w:sz="4" w:space="0" w:color="000000"/>
            </w:tcBorders>
          </w:tcPr>
          <w:p w14:paraId="07D9D305"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LD</w:t>
            </w:r>
          </w:p>
        </w:tc>
        <w:tc>
          <w:tcPr>
            <w:tcW w:w="1560" w:type="dxa"/>
            <w:tcBorders>
              <w:top w:val="single" w:sz="4" w:space="0" w:color="000000"/>
              <w:left w:val="single" w:sz="4" w:space="0" w:color="000000"/>
              <w:bottom w:val="single" w:sz="4" w:space="0" w:color="000000"/>
              <w:right w:val="single" w:sz="4" w:space="0" w:color="000000"/>
            </w:tcBorders>
          </w:tcPr>
          <w:p w14:paraId="4A812BC0"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r>
              <w:rPr>
                <w:rFonts w:ascii="Calibri" w:eastAsia="Calibri" w:hAnsi="Calibri" w:cs="Calibri"/>
                <w:sz w:val="20"/>
                <w:szCs w:val="20"/>
              </w:rPr>
              <w:t>(from item 3)</w:t>
            </w:r>
          </w:p>
        </w:tc>
        <w:tc>
          <w:tcPr>
            <w:tcW w:w="1274" w:type="dxa"/>
            <w:tcBorders>
              <w:top w:val="single" w:sz="4" w:space="0" w:color="000000"/>
              <w:left w:val="single" w:sz="4" w:space="0" w:color="000000"/>
              <w:bottom w:val="single" w:sz="4" w:space="0" w:color="000000"/>
              <w:right w:val="single" w:sz="4" w:space="0" w:color="000000"/>
            </w:tcBorders>
          </w:tcPr>
          <w:p w14:paraId="587842C9"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18A6F14A"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6568E76F"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6492F7E7"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Melissa Finch </w:t>
            </w:r>
          </w:p>
        </w:tc>
        <w:tc>
          <w:tcPr>
            <w:tcW w:w="2836" w:type="dxa"/>
            <w:tcBorders>
              <w:top w:val="single" w:sz="4" w:space="0" w:color="000000"/>
              <w:left w:val="single" w:sz="4" w:space="0" w:color="000000"/>
              <w:bottom w:val="single" w:sz="4" w:space="0" w:color="000000"/>
              <w:right w:val="single" w:sz="4" w:space="0" w:color="000000"/>
            </w:tcBorders>
          </w:tcPr>
          <w:p w14:paraId="753D45A3"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Co-opted Governor </w:t>
            </w:r>
          </w:p>
        </w:tc>
        <w:tc>
          <w:tcPr>
            <w:tcW w:w="1134" w:type="dxa"/>
            <w:tcBorders>
              <w:top w:val="single" w:sz="4" w:space="0" w:color="000000"/>
              <w:left w:val="single" w:sz="4" w:space="0" w:color="000000"/>
              <w:bottom w:val="single" w:sz="4" w:space="0" w:color="000000"/>
              <w:right w:val="single" w:sz="4" w:space="0" w:color="000000"/>
            </w:tcBorders>
          </w:tcPr>
          <w:p w14:paraId="4AA56D8F"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MF</w:t>
            </w:r>
          </w:p>
        </w:tc>
        <w:tc>
          <w:tcPr>
            <w:tcW w:w="1560" w:type="dxa"/>
            <w:tcBorders>
              <w:top w:val="single" w:sz="4" w:space="0" w:color="000000"/>
              <w:left w:val="single" w:sz="4" w:space="0" w:color="000000"/>
              <w:bottom w:val="single" w:sz="4" w:space="0" w:color="000000"/>
              <w:right w:val="single" w:sz="4" w:space="0" w:color="000000"/>
            </w:tcBorders>
          </w:tcPr>
          <w:p w14:paraId="4768DDCA" w14:textId="77777777" w:rsidR="0002441C" w:rsidRDefault="0002441C">
            <w:pPr>
              <w:pBdr>
                <w:top w:val="nil"/>
                <w:left w:val="nil"/>
                <w:bottom w:val="nil"/>
                <w:right w:val="nil"/>
                <w:between w:val="nil"/>
              </w:pBdr>
              <w:rPr>
                <w:rFonts w:ascii="Calibri" w:eastAsia="Calibri" w:hAnsi="Calibri" w:cs="Calibri"/>
                <w:color w:val="000000"/>
              </w:rPr>
            </w:pPr>
          </w:p>
        </w:tc>
        <w:tc>
          <w:tcPr>
            <w:tcW w:w="1274" w:type="dxa"/>
            <w:tcBorders>
              <w:top w:val="single" w:sz="4" w:space="0" w:color="000000"/>
              <w:left w:val="single" w:sz="4" w:space="0" w:color="000000"/>
              <w:bottom w:val="single" w:sz="4" w:space="0" w:color="000000"/>
              <w:right w:val="single" w:sz="4" w:space="0" w:color="000000"/>
            </w:tcBorders>
          </w:tcPr>
          <w:p w14:paraId="1D117C3B"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993" w:type="dxa"/>
            <w:tcBorders>
              <w:top w:val="single" w:sz="4" w:space="0" w:color="000000"/>
              <w:left w:val="single" w:sz="4" w:space="0" w:color="000000"/>
              <w:bottom w:val="single" w:sz="4" w:space="0" w:color="000000"/>
              <w:right w:val="single" w:sz="4" w:space="0" w:color="000000"/>
            </w:tcBorders>
          </w:tcPr>
          <w:p w14:paraId="42D7A1D9"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71F15371"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048372DB"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Gemma Fricker</w:t>
            </w:r>
          </w:p>
        </w:tc>
        <w:tc>
          <w:tcPr>
            <w:tcW w:w="2836" w:type="dxa"/>
            <w:tcBorders>
              <w:top w:val="single" w:sz="4" w:space="0" w:color="000000"/>
              <w:left w:val="single" w:sz="4" w:space="0" w:color="000000"/>
              <w:bottom w:val="single" w:sz="4" w:space="0" w:color="000000"/>
              <w:right w:val="single" w:sz="4" w:space="0" w:color="000000"/>
            </w:tcBorders>
          </w:tcPr>
          <w:p w14:paraId="41D9F3C1"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Executive Head Teacher</w:t>
            </w:r>
          </w:p>
        </w:tc>
        <w:tc>
          <w:tcPr>
            <w:tcW w:w="1134" w:type="dxa"/>
            <w:tcBorders>
              <w:top w:val="single" w:sz="4" w:space="0" w:color="000000"/>
              <w:left w:val="single" w:sz="4" w:space="0" w:color="000000"/>
              <w:bottom w:val="single" w:sz="4" w:space="0" w:color="000000"/>
              <w:right w:val="single" w:sz="4" w:space="0" w:color="000000"/>
            </w:tcBorders>
          </w:tcPr>
          <w:p w14:paraId="616915CB"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GF</w:t>
            </w:r>
          </w:p>
        </w:tc>
        <w:tc>
          <w:tcPr>
            <w:tcW w:w="1560" w:type="dxa"/>
            <w:tcBorders>
              <w:top w:val="single" w:sz="4" w:space="0" w:color="000000"/>
              <w:left w:val="single" w:sz="4" w:space="0" w:color="000000"/>
              <w:bottom w:val="single" w:sz="4" w:space="0" w:color="000000"/>
              <w:right w:val="single" w:sz="4" w:space="0" w:color="000000"/>
            </w:tcBorders>
          </w:tcPr>
          <w:p w14:paraId="1775EF0E"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2260AB8D"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71A2144A"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1A148D1E"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521AF9EE"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Mel Garrett</w:t>
            </w:r>
          </w:p>
        </w:tc>
        <w:tc>
          <w:tcPr>
            <w:tcW w:w="2836" w:type="dxa"/>
            <w:tcBorders>
              <w:top w:val="single" w:sz="4" w:space="0" w:color="000000"/>
              <w:left w:val="single" w:sz="4" w:space="0" w:color="000000"/>
              <w:bottom w:val="single" w:sz="4" w:space="0" w:color="000000"/>
              <w:right w:val="single" w:sz="4" w:space="0" w:color="000000"/>
            </w:tcBorders>
          </w:tcPr>
          <w:p w14:paraId="6FF2FE3E"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5810881C"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MG</w:t>
            </w:r>
          </w:p>
        </w:tc>
        <w:tc>
          <w:tcPr>
            <w:tcW w:w="1560" w:type="dxa"/>
            <w:tcBorders>
              <w:top w:val="single" w:sz="4" w:space="0" w:color="000000"/>
              <w:left w:val="single" w:sz="4" w:space="0" w:color="000000"/>
              <w:bottom w:val="single" w:sz="4" w:space="0" w:color="000000"/>
              <w:right w:val="single" w:sz="4" w:space="0" w:color="000000"/>
            </w:tcBorders>
          </w:tcPr>
          <w:p w14:paraId="0D42701E"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48D3EF7D"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059757EB"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715DA4BF"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21767AF6"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Helen Griffin</w:t>
            </w:r>
          </w:p>
        </w:tc>
        <w:tc>
          <w:tcPr>
            <w:tcW w:w="2836" w:type="dxa"/>
            <w:tcBorders>
              <w:top w:val="single" w:sz="4" w:space="0" w:color="000000"/>
              <w:left w:val="single" w:sz="4" w:space="0" w:color="000000"/>
              <w:bottom w:val="single" w:sz="4" w:space="0" w:color="000000"/>
              <w:right w:val="single" w:sz="4" w:space="0" w:color="000000"/>
            </w:tcBorders>
          </w:tcPr>
          <w:p w14:paraId="5957F8A5"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Parent Governor</w:t>
            </w:r>
          </w:p>
        </w:tc>
        <w:tc>
          <w:tcPr>
            <w:tcW w:w="1134" w:type="dxa"/>
            <w:tcBorders>
              <w:top w:val="single" w:sz="4" w:space="0" w:color="000000"/>
              <w:left w:val="single" w:sz="4" w:space="0" w:color="000000"/>
              <w:bottom w:val="single" w:sz="4" w:space="0" w:color="000000"/>
              <w:right w:val="single" w:sz="4" w:space="0" w:color="000000"/>
            </w:tcBorders>
          </w:tcPr>
          <w:p w14:paraId="1EEAC482"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HG</w:t>
            </w:r>
          </w:p>
        </w:tc>
        <w:tc>
          <w:tcPr>
            <w:tcW w:w="1560" w:type="dxa"/>
            <w:tcBorders>
              <w:top w:val="single" w:sz="4" w:space="0" w:color="000000"/>
              <w:left w:val="single" w:sz="4" w:space="0" w:color="000000"/>
              <w:bottom w:val="single" w:sz="4" w:space="0" w:color="000000"/>
              <w:right w:val="single" w:sz="4" w:space="0" w:color="000000"/>
            </w:tcBorders>
          </w:tcPr>
          <w:p w14:paraId="2F817EA7"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15E494D4"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7D2E396A"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51915504"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30861C5D"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Adrian Jones</w:t>
            </w:r>
          </w:p>
        </w:tc>
        <w:tc>
          <w:tcPr>
            <w:tcW w:w="2836" w:type="dxa"/>
            <w:tcBorders>
              <w:top w:val="single" w:sz="4" w:space="0" w:color="000000"/>
              <w:left w:val="single" w:sz="4" w:space="0" w:color="000000"/>
              <w:bottom w:val="single" w:sz="4" w:space="0" w:color="000000"/>
              <w:right w:val="single" w:sz="4" w:space="0" w:color="000000"/>
            </w:tcBorders>
          </w:tcPr>
          <w:p w14:paraId="23FAE1B2"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6AB12F32"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AJ</w:t>
            </w:r>
          </w:p>
        </w:tc>
        <w:tc>
          <w:tcPr>
            <w:tcW w:w="1560" w:type="dxa"/>
            <w:tcBorders>
              <w:top w:val="single" w:sz="4" w:space="0" w:color="000000"/>
              <w:left w:val="single" w:sz="4" w:space="0" w:color="000000"/>
              <w:bottom w:val="single" w:sz="4" w:space="0" w:color="000000"/>
              <w:right w:val="single" w:sz="4" w:space="0" w:color="000000"/>
            </w:tcBorders>
          </w:tcPr>
          <w:p w14:paraId="2A6C8096" w14:textId="77777777" w:rsidR="0002441C" w:rsidRDefault="0002441C">
            <w:pPr>
              <w:pBdr>
                <w:top w:val="nil"/>
                <w:left w:val="nil"/>
                <w:bottom w:val="nil"/>
                <w:right w:val="nil"/>
                <w:between w:val="nil"/>
              </w:pBdr>
              <w:rPr>
                <w:rFonts w:ascii="Calibri" w:eastAsia="Calibri" w:hAnsi="Calibri" w:cs="Calibri"/>
                <w:color w:val="000000"/>
              </w:rPr>
            </w:pPr>
          </w:p>
        </w:tc>
        <w:tc>
          <w:tcPr>
            <w:tcW w:w="1274" w:type="dxa"/>
            <w:tcBorders>
              <w:top w:val="single" w:sz="4" w:space="0" w:color="000000"/>
              <w:left w:val="single" w:sz="4" w:space="0" w:color="000000"/>
              <w:bottom w:val="single" w:sz="4" w:space="0" w:color="000000"/>
              <w:right w:val="single" w:sz="4" w:space="0" w:color="000000"/>
            </w:tcBorders>
          </w:tcPr>
          <w:p w14:paraId="1F8DB1CB"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993" w:type="dxa"/>
            <w:tcBorders>
              <w:top w:val="single" w:sz="4" w:space="0" w:color="000000"/>
              <w:left w:val="single" w:sz="4" w:space="0" w:color="000000"/>
              <w:bottom w:val="single" w:sz="4" w:space="0" w:color="000000"/>
              <w:right w:val="single" w:sz="4" w:space="0" w:color="000000"/>
            </w:tcBorders>
          </w:tcPr>
          <w:p w14:paraId="19EA6E2C"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06094305"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4F775BC9"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Ania Kopel-Hanna</w:t>
            </w:r>
          </w:p>
        </w:tc>
        <w:tc>
          <w:tcPr>
            <w:tcW w:w="2836" w:type="dxa"/>
            <w:tcBorders>
              <w:top w:val="single" w:sz="4" w:space="0" w:color="000000"/>
              <w:left w:val="single" w:sz="4" w:space="0" w:color="000000"/>
              <w:bottom w:val="single" w:sz="4" w:space="0" w:color="000000"/>
              <w:right w:val="single" w:sz="4" w:space="0" w:color="000000"/>
            </w:tcBorders>
          </w:tcPr>
          <w:p w14:paraId="310905FD"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423777D4"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AKH</w:t>
            </w:r>
          </w:p>
        </w:tc>
        <w:tc>
          <w:tcPr>
            <w:tcW w:w="1560" w:type="dxa"/>
            <w:tcBorders>
              <w:top w:val="single" w:sz="4" w:space="0" w:color="000000"/>
              <w:left w:val="single" w:sz="4" w:space="0" w:color="000000"/>
              <w:bottom w:val="single" w:sz="4" w:space="0" w:color="000000"/>
              <w:right w:val="single" w:sz="4" w:space="0" w:color="000000"/>
            </w:tcBorders>
          </w:tcPr>
          <w:p w14:paraId="64FCCD57"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515E6DD4"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2EA83515"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2645170B"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2C5CC8DF"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Ben McLewis</w:t>
            </w:r>
          </w:p>
        </w:tc>
        <w:tc>
          <w:tcPr>
            <w:tcW w:w="2836" w:type="dxa"/>
            <w:tcBorders>
              <w:top w:val="single" w:sz="4" w:space="0" w:color="000000"/>
              <w:left w:val="single" w:sz="4" w:space="0" w:color="000000"/>
              <w:bottom w:val="single" w:sz="4" w:space="0" w:color="000000"/>
              <w:right w:val="single" w:sz="4" w:space="0" w:color="000000"/>
            </w:tcBorders>
          </w:tcPr>
          <w:p w14:paraId="7E92D35F"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61C3E4D6"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BM</w:t>
            </w:r>
          </w:p>
        </w:tc>
        <w:tc>
          <w:tcPr>
            <w:tcW w:w="1560" w:type="dxa"/>
            <w:tcBorders>
              <w:top w:val="single" w:sz="4" w:space="0" w:color="000000"/>
              <w:left w:val="single" w:sz="4" w:space="0" w:color="000000"/>
              <w:bottom w:val="single" w:sz="4" w:space="0" w:color="000000"/>
              <w:right w:val="single" w:sz="4" w:space="0" w:color="000000"/>
            </w:tcBorders>
          </w:tcPr>
          <w:p w14:paraId="332ED35D"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 √ </w:t>
            </w:r>
            <w:r>
              <w:rPr>
                <w:rFonts w:ascii="Calibri" w:eastAsia="Calibri" w:hAnsi="Calibri" w:cs="Calibri"/>
                <w:sz w:val="20"/>
                <w:szCs w:val="20"/>
              </w:rPr>
              <w:t>(from item 3)</w:t>
            </w:r>
          </w:p>
        </w:tc>
        <w:tc>
          <w:tcPr>
            <w:tcW w:w="1274" w:type="dxa"/>
            <w:tcBorders>
              <w:top w:val="single" w:sz="4" w:space="0" w:color="000000"/>
              <w:left w:val="single" w:sz="4" w:space="0" w:color="000000"/>
              <w:bottom w:val="single" w:sz="4" w:space="0" w:color="000000"/>
              <w:right w:val="single" w:sz="4" w:space="0" w:color="000000"/>
            </w:tcBorders>
          </w:tcPr>
          <w:p w14:paraId="266F66A9"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1AC22D00"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6B161792"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4391C3C2"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Hazel Phillips</w:t>
            </w:r>
          </w:p>
        </w:tc>
        <w:tc>
          <w:tcPr>
            <w:tcW w:w="2836" w:type="dxa"/>
            <w:tcBorders>
              <w:top w:val="single" w:sz="4" w:space="0" w:color="000000"/>
              <w:left w:val="single" w:sz="4" w:space="0" w:color="000000"/>
              <w:bottom w:val="single" w:sz="4" w:space="0" w:color="000000"/>
              <w:right w:val="single" w:sz="4" w:space="0" w:color="000000"/>
            </w:tcBorders>
          </w:tcPr>
          <w:p w14:paraId="4A0FBD3F"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58DBF692"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HP</w:t>
            </w:r>
          </w:p>
        </w:tc>
        <w:tc>
          <w:tcPr>
            <w:tcW w:w="1560" w:type="dxa"/>
            <w:tcBorders>
              <w:top w:val="single" w:sz="4" w:space="0" w:color="000000"/>
              <w:left w:val="single" w:sz="4" w:space="0" w:color="000000"/>
              <w:bottom w:val="single" w:sz="4" w:space="0" w:color="000000"/>
              <w:right w:val="single" w:sz="4" w:space="0" w:color="000000"/>
            </w:tcBorders>
          </w:tcPr>
          <w:p w14:paraId="098F3355"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5B0F3C2"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08435F1"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54DC0CE1"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49931EA5"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Emilie Poletto-Lawson</w:t>
            </w:r>
          </w:p>
        </w:tc>
        <w:tc>
          <w:tcPr>
            <w:tcW w:w="2836" w:type="dxa"/>
            <w:tcBorders>
              <w:top w:val="single" w:sz="4" w:space="0" w:color="000000"/>
              <w:left w:val="single" w:sz="4" w:space="0" w:color="000000"/>
              <w:bottom w:val="single" w:sz="4" w:space="0" w:color="000000"/>
              <w:right w:val="single" w:sz="4" w:space="0" w:color="000000"/>
            </w:tcBorders>
          </w:tcPr>
          <w:p w14:paraId="2C0B86D2"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Co-opted Governor</w:t>
            </w:r>
          </w:p>
        </w:tc>
        <w:tc>
          <w:tcPr>
            <w:tcW w:w="1134" w:type="dxa"/>
            <w:tcBorders>
              <w:top w:val="single" w:sz="4" w:space="0" w:color="000000"/>
              <w:left w:val="single" w:sz="4" w:space="0" w:color="000000"/>
              <w:bottom w:val="single" w:sz="4" w:space="0" w:color="000000"/>
              <w:right w:val="single" w:sz="4" w:space="0" w:color="000000"/>
            </w:tcBorders>
          </w:tcPr>
          <w:p w14:paraId="513FE8D3"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EPL</w:t>
            </w:r>
          </w:p>
        </w:tc>
        <w:tc>
          <w:tcPr>
            <w:tcW w:w="1560" w:type="dxa"/>
            <w:tcBorders>
              <w:top w:val="single" w:sz="4" w:space="0" w:color="000000"/>
              <w:left w:val="single" w:sz="4" w:space="0" w:color="000000"/>
              <w:bottom w:val="single" w:sz="4" w:space="0" w:color="000000"/>
              <w:right w:val="single" w:sz="4" w:space="0" w:color="000000"/>
            </w:tcBorders>
          </w:tcPr>
          <w:p w14:paraId="1BD3CBE2"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27415FCA"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12049530"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5B174B6A"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18E707A8"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Amar Shah</w:t>
            </w:r>
          </w:p>
        </w:tc>
        <w:tc>
          <w:tcPr>
            <w:tcW w:w="2836" w:type="dxa"/>
            <w:tcBorders>
              <w:top w:val="single" w:sz="4" w:space="0" w:color="000000"/>
              <w:left w:val="single" w:sz="4" w:space="0" w:color="000000"/>
              <w:bottom w:val="single" w:sz="4" w:space="0" w:color="000000"/>
              <w:right w:val="single" w:sz="4" w:space="0" w:color="000000"/>
            </w:tcBorders>
          </w:tcPr>
          <w:p w14:paraId="721D6B6E"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 xml:space="preserve">Co-opted Governor </w:t>
            </w:r>
          </w:p>
        </w:tc>
        <w:tc>
          <w:tcPr>
            <w:tcW w:w="1134" w:type="dxa"/>
            <w:tcBorders>
              <w:top w:val="single" w:sz="4" w:space="0" w:color="000000"/>
              <w:left w:val="single" w:sz="4" w:space="0" w:color="000000"/>
              <w:bottom w:val="single" w:sz="4" w:space="0" w:color="000000"/>
              <w:right w:val="single" w:sz="4" w:space="0" w:color="000000"/>
            </w:tcBorders>
          </w:tcPr>
          <w:p w14:paraId="6DAF4C06"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rPr>
              <w:t>AS</w:t>
            </w:r>
          </w:p>
        </w:tc>
        <w:tc>
          <w:tcPr>
            <w:tcW w:w="1560" w:type="dxa"/>
            <w:tcBorders>
              <w:top w:val="single" w:sz="4" w:space="0" w:color="000000"/>
              <w:left w:val="single" w:sz="4" w:space="0" w:color="000000"/>
              <w:bottom w:val="single" w:sz="4" w:space="0" w:color="000000"/>
              <w:right w:val="single" w:sz="4" w:space="0" w:color="000000"/>
            </w:tcBorders>
          </w:tcPr>
          <w:p w14:paraId="79048620" w14:textId="77777777" w:rsidR="0002441C" w:rsidRDefault="00000000">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3D9A74E2"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6982D44C"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23B2BF7C" w14:textId="77777777">
        <w:trPr>
          <w:jc w:val="center"/>
        </w:trPr>
        <w:tc>
          <w:tcPr>
            <w:tcW w:w="2409" w:type="dxa"/>
          </w:tcPr>
          <w:p w14:paraId="27B4F940"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Louise Walton</w:t>
            </w:r>
          </w:p>
        </w:tc>
        <w:tc>
          <w:tcPr>
            <w:tcW w:w="2836" w:type="dxa"/>
          </w:tcPr>
          <w:p w14:paraId="64CADAA0"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Co-opted Governor</w:t>
            </w:r>
          </w:p>
        </w:tc>
        <w:tc>
          <w:tcPr>
            <w:tcW w:w="1134" w:type="dxa"/>
          </w:tcPr>
          <w:p w14:paraId="553205D0"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LW</w:t>
            </w:r>
          </w:p>
        </w:tc>
        <w:tc>
          <w:tcPr>
            <w:tcW w:w="1560" w:type="dxa"/>
            <w:tcBorders>
              <w:top w:val="single" w:sz="4" w:space="0" w:color="000000"/>
              <w:left w:val="single" w:sz="4" w:space="0" w:color="000000"/>
              <w:bottom w:val="single" w:sz="4" w:space="0" w:color="000000"/>
              <w:right w:val="single" w:sz="4" w:space="0" w:color="000000"/>
            </w:tcBorders>
          </w:tcPr>
          <w:p w14:paraId="7B15E6A8"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123EC307"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0CCCB119"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54275836" w14:textId="77777777">
        <w:trPr>
          <w:jc w:val="center"/>
        </w:trPr>
        <w:tc>
          <w:tcPr>
            <w:tcW w:w="2409" w:type="dxa"/>
            <w:tcBorders>
              <w:top w:val="single" w:sz="4" w:space="0" w:color="000000"/>
              <w:left w:val="single" w:sz="4" w:space="0" w:color="000000"/>
              <w:bottom w:val="single" w:sz="4" w:space="0" w:color="000000"/>
              <w:right w:val="single" w:sz="4" w:space="0" w:color="000000"/>
            </w:tcBorders>
          </w:tcPr>
          <w:p w14:paraId="1B68C2C1"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Sallie Wood</w:t>
            </w:r>
          </w:p>
        </w:tc>
        <w:tc>
          <w:tcPr>
            <w:tcW w:w="2836" w:type="dxa"/>
            <w:tcBorders>
              <w:top w:val="single" w:sz="4" w:space="0" w:color="000000"/>
              <w:left w:val="single" w:sz="4" w:space="0" w:color="000000"/>
              <w:bottom w:val="single" w:sz="4" w:space="0" w:color="000000"/>
              <w:right w:val="single" w:sz="4" w:space="0" w:color="000000"/>
            </w:tcBorders>
          </w:tcPr>
          <w:p w14:paraId="1D041D43"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Staff Governor</w:t>
            </w:r>
          </w:p>
        </w:tc>
        <w:tc>
          <w:tcPr>
            <w:tcW w:w="1134" w:type="dxa"/>
            <w:tcBorders>
              <w:top w:val="single" w:sz="4" w:space="0" w:color="000000"/>
              <w:left w:val="single" w:sz="4" w:space="0" w:color="000000"/>
              <w:bottom w:val="single" w:sz="4" w:space="0" w:color="000000"/>
              <w:right w:val="single" w:sz="4" w:space="0" w:color="000000"/>
            </w:tcBorders>
          </w:tcPr>
          <w:p w14:paraId="41E36131"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SW</w:t>
            </w:r>
          </w:p>
        </w:tc>
        <w:tc>
          <w:tcPr>
            <w:tcW w:w="1560" w:type="dxa"/>
            <w:tcBorders>
              <w:top w:val="single" w:sz="4" w:space="0" w:color="000000"/>
              <w:left w:val="single" w:sz="4" w:space="0" w:color="000000"/>
              <w:bottom w:val="single" w:sz="4" w:space="0" w:color="000000"/>
              <w:right w:val="single" w:sz="4" w:space="0" w:color="000000"/>
            </w:tcBorders>
          </w:tcPr>
          <w:p w14:paraId="4B146413"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color w:val="000000"/>
              </w:rPr>
              <w:t>√</w:t>
            </w:r>
          </w:p>
        </w:tc>
        <w:tc>
          <w:tcPr>
            <w:tcW w:w="1274" w:type="dxa"/>
            <w:tcBorders>
              <w:top w:val="single" w:sz="4" w:space="0" w:color="000000"/>
              <w:left w:val="single" w:sz="4" w:space="0" w:color="000000"/>
              <w:bottom w:val="single" w:sz="4" w:space="0" w:color="000000"/>
              <w:right w:val="single" w:sz="4" w:space="0" w:color="000000"/>
            </w:tcBorders>
          </w:tcPr>
          <w:p w14:paraId="68500D7C"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left w:val="single" w:sz="4" w:space="0" w:color="000000"/>
              <w:bottom w:val="single" w:sz="4" w:space="0" w:color="000000"/>
              <w:right w:val="single" w:sz="4" w:space="0" w:color="000000"/>
            </w:tcBorders>
          </w:tcPr>
          <w:p w14:paraId="62222D0E"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5168BC20" w14:textId="77777777">
        <w:trPr>
          <w:jc w:val="center"/>
        </w:trPr>
        <w:tc>
          <w:tcPr>
            <w:tcW w:w="2409" w:type="dxa"/>
            <w:tcBorders>
              <w:top w:val="single" w:sz="4" w:space="0" w:color="000000"/>
            </w:tcBorders>
            <w:shd w:val="clear" w:color="auto" w:fill="C6D9F1"/>
          </w:tcPr>
          <w:p w14:paraId="046FFF90"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b/>
                <w:bCs/>
              </w:rPr>
              <w:t>In Attendance</w:t>
            </w:r>
          </w:p>
        </w:tc>
        <w:tc>
          <w:tcPr>
            <w:tcW w:w="2836" w:type="dxa"/>
            <w:tcBorders>
              <w:top w:val="single" w:sz="4" w:space="0" w:color="000000"/>
            </w:tcBorders>
            <w:shd w:val="clear" w:color="auto" w:fill="C6D9F1"/>
          </w:tcPr>
          <w:p w14:paraId="57ABF906" w14:textId="77777777" w:rsidR="0002441C" w:rsidRDefault="0002441C">
            <w:pPr>
              <w:pBdr>
                <w:top w:val="nil"/>
                <w:left w:val="nil"/>
                <w:bottom w:val="nil"/>
                <w:right w:val="nil"/>
                <w:between w:val="nil"/>
              </w:pBdr>
              <w:rPr>
                <w:rFonts w:ascii="Calibri" w:eastAsia="Calibri" w:hAnsi="Calibri" w:cs="Calibri"/>
              </w:rPr>
            </w:pPr>
          </w:p>
        </w:tc>
        <w:tc>
          <w:tcPr>
            <w:tcW w:w="1134" w:type="dxa"/>
            <w:tcBorders>
              <w:top w:val="single" w:sz="4" w:space="0" w:color="000000"/>
            </w:tcBorders>
            <w:shd w:val="clear" w:color="auto" w:fill="C6D9F1"/>
          </w:tcPr>
          <w:p w14:paraId="7B7D407B" w14:textId="77777777" w:rsidR="0002441C" w:rsidRDefault="0002441C">
            <w:pPr>
              <w:pBdr>
                <w:top w:val="nil"/>
                <w:left w:val="nil"/>
                <w:bottom w:val="nil"/>
                <w:right w:val="nil"/>
                <w:between w:val="nil"/>
              </w:pBdr>
              <w:rPr>
                <w:rFonts w:ascii="Calibri" w:eastAsia="Calibri" w:hAnsi="Calibri" w:cs="Calibri"/>
              </w:rPr>
            </w:pPr>
          </w:p>
        </w:tc>
        <w:tc>
          <w:tcPr>
            <w:tcW w:w="1560" w:type="dxa"/>
            <w:tcBorders>
              <w:top w:val="single" w:sz="4" w:space="0" w:color="000000"/>
            </w:tcBorders>
            <w:shd w:val="clear" w:color="auto" w:fill="C6D9F1"/>
          </w:tcPr>
          <w:p w14:paraId="0F1F9EB4" w14:textId="77777777" w:rsidR="0002441C" w:rsidRDefault="0002441C">
            <w:pPr>
              <w:pBdr>
                <w:top w:val="nil"/>
                <w:left w:val="nil"/>
                <w:bottom w:val="nil"/>
                <w:right w:val="nil"/>
                <w:between w:val="nil"/>
              </w:pBdr>
              <w:rPr>
                <w:rFonts w:ascii="Calibri" w:eastAsia="Calibri" w:hAnsi="Calibri" w:cs="Calibri"/>
              </w:rPr>
            </w:pPr>
          </w:p>
        </w:tc>
        <w:tc>
          <w:tcPr>
            <w:tcW w:w="1274" w:type="dxa"/>
            <w:tcBorders>
              <w:top w:val="single" w:sz="4" w:space="0" w:color="000000"/>
            </w:tcBorders>
            <w:shd w:val="clear" w:color="auto" w:fill="C6D9F1"/>
          </w:tcPr>
          <w:p w14:paraId="4B182825"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Borders>
              <w:top w:val="single" w:sz="4" w:space="0" w:color="000000"/>
            </w:tcBorders>
            <w:shd w:val="clear" w:color="auto" w:fill="C6D9F1"/>
          </w:tcPr>
          <w:p w14:paraId="78C8FB97" w14:textId="77777777" w:rsidR="0002441C" w:rsidRDefault="0002441C">
            <w:pPr>
              <w:pBdr>
                <w:top w:val="nil"/>
                <w:left w:val="nil"/>
                <w:bottom w:val="nil"/>
                <w:right w:val="nil"/>
                <w:between w:val="nil"/>
              </w:pBdr>
              <w:rPr>
                <w:rFonts w:ascii="Calibri" w:eastAsia="Calibri" w:hAnsi="Calibri" w:cs="Calibri"/>
                <w:color w:val="000000"/>
              </w:rPr>
            </w:pPr>
          </w:p>
        </w:tc>
      </w:tr>
      <w:tr w:rsidR="0002441C" w14:paraId="4CC0BE75" w14:textId="77777777">
        <w:trPr>
          <w:jc w:val="center"/>
        </w:trPr>
        <w:tc>
          <w:tcPr>
            <w:tcW w:w="2409" w:type="dxa"/>
          </w:tcPr>
          <w:p w14:paraId="3A060399"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Janet Bremner</w:t>
            </w:r>
          </w:p>
        </w:tc>
        <w:tc>
          <w:tcPr>
            <w:tcW w:w="2836" w:type="dxa"/>
          </w:tcPr>
          <w:p w14:paraId="13C4D49C"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 xml:space="preserve">Clerk </w:t>
            </w:r>
          </w:p>
        </w:tc>
        <w:tc>
          <w:tcPr>
            <w:tcW w:w="1134" w:type="dxa"/>
          </w:tcPr>
          <w:p w14:paraId="011D17DA"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JaB</w:t>
            </w:r>
          </w:p>
        </w:tc>
        <w:tc>
          <w:tcPr>
            <w:tcW w:w="1560" w:type="dxa"/>
          </w:tcPr>
          <w:p w14:paraId="5428BBFE"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w:t>
            </w:r>
          </w:p>
        </w:tc>
        <w:tc>
          <w:tcPr>
            <w:tcW w:w="1274" w:type="dxa"/>
          </w:tcPr>
          <w:p w14:paraId="39C0E926" w14:textId="77777777" w:rsidR="0002441C" w:rsidRDefault="0002441C">
            <w:pPr>
              <w:pBdr>
                <w:top w:val="nil"/>
                <w:left w:val="nil"/>
                <w:bottom w:val="nil"/>
                <w:right w:val="nil"/>
                <w:between w:val="nil"/>
              </w:pBdr>
              <w:rPr>
                <w:rFonts w:ascii="Calibri" w:eastAsia="Calibri" w:hAnsi="Calibri" w:cs="Calibri"/>
                <w:color w:val="000000"/>
              </w:rPr>
            </w:pPr>
          </w:p>
        </w:tc>
        <w:tc>
          <w:tcPr>
            <w:tcW w:w="993" w:type="dxa"/>
          </w:tcPr>
          <w:p w14:paraId="38BD2EFF" w14:textId="77777777" w:rsidR="0002441C" w:rsidRDefault="0002441C">
            <w:pPr>
              <w:pBdr>
                <w:top w:val="nil"/>
                <w:left w:val="nil"/>
                <w:bottom w:val="nil"/>
                <w:right w:val="nil"/>
                <w:between w:val="nil"/>
              </w:pBdr>
              <w:rPr>
                <w:rFonts w:ascii="Calibri" w:eastAsia="Calibri" w:hAnsi="Calibri" w:cs="Calibri"/>
                <w:color w:val="000000"/>
              </w:rPr>
            </w:pPr>
          </w:p>
        </w:tc>
      </w:tr>
    </w:tbl>
    <w:p w14:paraId="195775D5" w14:textId="77777777" w:rsidR="0002441C" w:rsidRDefault="0002441C">
      <w:pPr>
        <w:widowControl/>
        <w:spacing w:line="276" w:lineRule="auto"/>
        <w:rPr>
          <w:rFonts w:ascii="Montserrat" w:eastAsia="Montserrat" w:hAnsi="Montserrat" w:cs="Montserrat"/>
          <w:sz w:val="20"/>
          <w:szCs w:val="20"/>
        </w:rPr>
      </w:pPr>
    </w:p>
    <w:tbl>
      <w:tblPr>
        <w:tblStyle w:val="af8"/>
        <w:tblW w:w="10705" w:type="dxa"/>
        <w:tblInd w:w="-79" w:type="dxa"/>
        <w:tblLayout w:type="fixed"/>
        <w:tblLook w:val="0600" w:firstRow="0" w:lastRow="0" w:firstColumn="0" w:lastColumn="0" w:noHBand="1" w:noVBand="1"/>
      </w:tblPr>
      <w:tblGrid>
        <w:gridCol w:w="1079"/>
        <w:gridCol w:w="9626"/>
      </w:tblGrid>
      <w:tr w:rsidR="0002441C" w14:paraId="109769D2"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B50325D"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1.0</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EA8E649"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Welcome - Apologies for absence &amp; business interests</w:t>
            </w:r>
          </w:p>
        </w:tc>
      </w:tr>
      <w:tr w:rsidR="0002441C" w14:paraId="72547AC8"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1BC354F7"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HP welcomed everyone to the meeting.  Apologies were received and accepted from AJ and MF. There were no changes to the business interests of those present.</w:t>
            </w:r>
          </w:p>
          <w:p w14:paraId="2F9F39A2"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p w14:paraId="0A72D4A5"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AKH Had previously notified the board that this would be her last meeting as a governor as she is stepping down with immediate effect. HP le</w:t>
            </w:r>
            <w:r>
              <w:rPr>
                <w:rFonts w:ascii="Calibri" w:eastAsia="Calibri" w:hAnsi="Calibri" w:cs="Calibri"/>
              </w:rPr>
              <w:t>d</w:t>
            </w:r>
            <w:r>
              <w:rPr>
                <w:rFonts w:ascii="Calibri" w:eastAsia="Calibri" w:hAnsi="Calibri" w:cs="Calibri"/>
                <w:color w:val="000000"/>
              </w:rPr>
              <w:t xml:space="preserve"> the thanks to AKH for her many years of commitment and work on the preceding governing boards, especially in her role as SEND link governor. </w:t>
            </w:r>
          </w:p>
        </w:tc>
      </w:tr>
    </w:tbl>
    <w:p w14:paraId="2DF73761"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p w14:paraId="00144D4C" w14:textId="77777777" w:rsidR="0002441C" w:rsidRDefault="00000000">
      <w:pPr>
        <w:widowControl/>
        <w:pBdr>
          <w:top w:val="nil"/>
          <w:left w:val="nil"/>
          <w:bottom w:val="nil"/>
          <w:right w:val="nil"/>
          <w:between w:val="nil"/>
        </w:pBdr>
        <w:spacing w:line="276" w:lineRule="auto"/>
        <w:rPr>
          <w:rFonts w:ascii="Calibri" w:eastAsia="Calibri" w:hAnsi="Calibri" w:cs="Calibri"/>
          <w:i/>
          <w:iCs/>
          <w:color w:val="000000"/>
        </w:rPr>
      </w:pPr>
      <w:r>
        <w:rPr>
          <w:rFonts w:ascii="Calibri" w:eastAsia="Calibri" w:hAnsi="Calibri" w:cs="Calibri"/>
          <w:i/>
          <w:iCs/>
          <w:color w:val="000000"/>
        </w:rPr>
        <w:t>AKH left the meeting</w:t>
      </w:r>
    </w:p>
    <w:p w14:paraId="25E613E9"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9"/>
        <w:tblW w:w="10701" w:type="dxa"/>
        <w:tblInd w:w="-79" w:type="dxa"/>
        <w:tblLayout w:type="fixed"/>
        <w:tblLook w:val="0600" w:firstRow="0" w:lastRow="0" w:firstColumn="0" w:lastColumn="0" w:noHBand="1" w:noVBand="1"/>
      </w:tblPr>
      <w:tblGrid>
        <w:gridCol w:w="1079"/>
        <w:gridCol w:w="8629"/>
        <w:gridCol w:w="993"/>
      </w:tblGrid>
      <w:tr w:rsidR="0002441C" w14:paraId="449DDED5"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6968713"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2.0</w:t>
            </w:r>
          </w:p>
        </w:tc>
        <w:tc>
          <w:tcPr>
            <w:tcW w:w="9622"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57C89235"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Review Minutes from the previous meeting 9th December 2025: Accuracy; Matters arising</w:t>
            </w:r>
          </w:p>
        </w:tc>
      </w:tr>
      <w:tr w:rsidR="0002441C" w14:paraId="30BD5A81" w14:textId="77777777">
        <w:trPr>
          <w:trHeight w:val="346"/>
        </w:trPr>
        <w:tc>
          <w:tcPr>
            <w:tcW w:w="10701" w:type="dxa"/>
            <w:gridSpan w:val="3"/>
            <w:tcBorders>
              <w:left w:val="single" w:sz="8" w:space="0" w:color="000000"/>
              <w:bottom w:val="single" w:sz="8" w:space="0" w:color="000000"/>
              <w:right w:val="single" w:sz="8" w:space="0" w:color="000000"/>
            </w:tcBorders>
            <w:vAlign w:val="center"/>
          </w:tcPr>
          <w:p w14:paraId="777A7A93"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A query was raised concerning the absence of a discussion about modern foreign languages (MFL), which was attributed to a transcription error; it was agreed the minutes would be amended and recirculated. Further discussion arose regarding the strategic oversight of Artificial Intelligence, with governors emphasising the need for due diligence and ethical scrutiny beyond the Trust's operational directives. </w:t>
            </w:r>
          </w:p>
        </w:tc>
      </w:tr>
      <w:tr w:rsidR="0002441C" w14:paraId="729C2D21" w14:textId="77777777">
        <w:trPr>
          <w:trHeight w:val="346"/>
        </w:trPr>
        <w:tc>
          <w:tcPr>
            <w:tcW w:w="10701" w:type="dxa"/>
            <w:gridSpan w:val="3"/>
            <w:tcBorders>
              <w:left w:val="single" w:sz="8" w:space="0" w:color="000000"/>
              <w:bottom w:val="single" w:sz="8" w:space="0" w:color="000000"/>
              <w:right w:val="single" w:sz="8" w:space="0" w:color="000000"/>
            </w:tcBorders>
            <w:vAlign w:val="center"/>
          </w:tcPr>
          <w:p w14:paraId="6B45DF80" w14:textId="77777777" w:rsidR="0002441C" w:rsidRDefault="00000000">
            <w:pPr>
              <w:pStyle w:val="Heading3"/>
              <w:rPr>
                <w:rFonts w:ascii="Calibri" w:eastAsia="Calibri" w:hAnsi="Calibri" w:cs="Calibri"/>
                <w:color w:val="EE0000"/>
                <w:sz w:val="24"/>
                <w:szCs w:val="24"/>
              </w:rPr>
            </w:pPr>
            <w:r>
              <w:rPr>
                <w:rFonts w:ascii="Calibri" w:eastAsia="Calibri" w:hAnsi="Calibri" w:cs="Calibri"/>
                <w:sz w:val="24"/>
                <w:szCs w:val="24"/>
              </w:rPr>
              <w:lastRenderedPageBreak/>
              <w:t>ACTIONS</w:t>
            </w:r>
          </w:p>
        </w:tc>
      </w:tr>
      <w:tr w:rsidR="0002441C" w14:paraId="14CB6B7A"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6C7C4019"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Amend the minutes from the 9th December 2025 meeting to include the omitted MFL discussion and recirculate the updated minutes to the chairs for sign-off.</w:t>
            </w:r>
          </w:p>
        </w:tc>
        <w:tc>
          <w:tcPr>
            <w:tcW w:w="993" w:type="dxa"/>
            <w:tcBorders>
              <w:left w:val="single" w:sz="8" w:space="0" w:color="000000"/>
              <w:bottom w:val="single" w:sz="8" w:space="0" w:color="000000"/>
              <w:right w:val="single" w:sz="8" w:space="0" w:color="000000"/>
            </w:tcBorders>
            <w:vAlign w:val="center"/>
          </w:tcPr>
          <w:p w14:paraId="75B3FBAF"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JaB</w:t>
            </w:r>
          </w:p>
        </w:tc>
      </w:tr>
      <w:tr w:rsidR="0002441C" w14:paraId="3D0870AD"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5AE6E762"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Ask the Trust about the due diligence undertaken for AI implementation, seek clarification on the AI policy, and request to be kept informed of the AI working group's progress.</w:t>
            </w:r>
          </w:p>
        </w:tc>
        <w:tc>
          <w:tcPr>
            <w:tcW w:w="993" w:type="dxa"/>
            <w:tcBorders>
              <w:left w:val="single" w:sz="8" w:space="0" w:color="000000"/>
              <w:bottom w:val="single" w:sz="8" w:space="0" w:color="000000"/>
              <w:right w:val="single" w:sz="8" w:space="0" w:color="000000"/>
            </w:tcBorders>
            <w:vAlign w:val="center"/>
          </w:tcPr>
          <w:p w14:paraId="6747800D"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HP</w:t>
            </w:r>
          </w:p>
        </w:tc>
      </w:tr>
      <w:tr w:rsidR="0002441C" w14:paraId="13863C26"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07D783A7"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 xml:space="preserve">Review the mobile phone policy. </w:t>
            </w:r>
          </w:p>
        </w:tc>
        <w:tc>
          <w:tcPr>
            <w:tcW w:w="993" w:type="dxa"/>
            <w:tcBorders>
              <w:left w:val="single" w:sz="8" w:space="0" w:color="000000"/>
              <w:bottom w:val="single" w:sz="8" w:space="0" w:color="000000"/>
              <w:right w:val="single" w:sz="8" w:space="0" w:color="000000"/>
            </w:tcBorders>
            <w:vAlign w:val="center"/>
          </w:tcPr>
          <w:p w14:paraId="71E2593C"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JuB</w:t>
            </w:r>
          </w:p>
        </w:tc>
      </w:tr>
      <w:tr w:rsidR="0002441C" w14:paraId="0046208B"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1FBE4045"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Follow up with MF regarding the outstanding cyber policy action.</w:t>
            </w:r>
          </w:p>
        </w:tc>
        <w:tc>
          <w:tcPr>
            <w:tcW w:w="993" w:type="dxa"/>
            <w:tcBorders>
              <w:left w:val="single" w:sz="8" w:space="0" w:color="000000"/>
              <w:bottom w:val="single" w:sz="8" w:space="0" w:color="000000"/>
              <w:right w:val="single" w:sz="8" w:space="0" w:color="000000"/>
            </w:tcBorders>
            <w:vAlign w:val="center"/>
          </w:tcPr>
          <w:p w14:paraId="60B44EF6"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r w:rsidR="0002441C" w14:paraId="4374C856"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1D5B1A90"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Submit brief, first-person biographies for the new website, including reasons for becoming a governor.</w:t>
            </w:r>
          </w:p>
        </w:tc>
        <w:tc>
          <w:tcPr>
            <w:tcW w:w="993" w:type="dxa"/>
            <w:tcBorders>
              <w:left w:val="single" w:sz="8" w:space="0" w:color="000000"/>
              <w:bottom w:val="single" w:sz="8" w:space="0" w:color="000000"/>
              <w:right w:val="single" w:sz="8" w:space="0" w:color="000000"/>
            </w:tcBorders>
            <w:vAlign w:val="center"/>
          </w:tcPr>
          <w:p w14:paraId="4B16C448"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All</w:t>
            </w:r>
          </w:p>
        </w:tc>
      </w:tr>
    </w:tbl>
    <w:p w14:paraId="72365E56"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p w14:paraId="2ACDF3F1" w14:textId="77777777" w:rsidR="0002441C" w:rsidRDefault="00000000">
      <w:pPr>
        <w:widowControl/>
        <w:pBdr>
          <w:top w:val="nil"/>
          <w:left w:val="nil"/>
          <w:bottom w:val="nil"/>
          <w:right w:val="nil"/>
          <w:between w:val="nil"/>
        </w:pBdr>
        <w:spacing w:line="276" w:lineRule="auto"/>
        <w:rPr>
          <w:rFonts w:ascii="Calibri" w:eastAsia="Calibri" w:hAnsi="Calibri" w:cs="Calibri"/>
          <w:i/>
          <w:iCs/>
          <w:color w:val="000000"/>
        </w:rPr>
      </w:pPr>
      <w:r>
        <w:rPr>
          <w:rFonts w:ascii="Calibri" w:eastAsia="Calibri" w:hAnsi="Calibri" w:cs="Calibri"/>
          <w:i/>
          <w:iCs/>
          <w:color w:val="000000"/>
        </w:rPr>
        <w:t>BM &amp; LD joined the meeting</w:t>
      </w:r>
    </w:p>
    <w:p w14:paraId="3A143134"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a"/>
        <w:tblW w:w="10705" w:type="dxa"/>
        <w:tblInd w:w="-79" w:type="dxa"/>
        <w:tblLayout w:type="fixed"/>
        <w:tblLook w:val="0600" w:firstRow="0" w:lastRow="0" w:firstColumn="0" w:lastColumn="0" w:noHBand="1" w:noVBand="1"/>
      </w:tblPr>
      <w:tblGrid>
        <w:gridCol w:w="1080"/>
        <w:gridCol w:w="2533"/>
        <w:gridCol w:w="5670"/>
        <w:gridCol w:w="1422"/>
      </w:tblGrid>
      <w:tr w:rsidR="0002441C" w14:paraId="21456FDE"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33B06AC3"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3.1</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11FC90A3"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Governance - Ofsted preparation</w:t>
            </w:r>
          </w:p>
        </w:tc>
      </w:tr>
      <w:tr w:rsidR="0002441C" w14:paraId="0595280E"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FE16964"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The board reviewed its preparations for an upcoming Ofsted inspection, focusing on a document introduced by HP which provides key narratives and potential questions for the junior school, which is expecting an inspection by July 2026. A decision was made to form a small, flexible team of governors with expertise in safeguarding, pupil premium, and curriculum, moving away from a larger team approach. T</w:t>
            </w:r>
            <w:r>
              <w:rPr>
                <w:rFonts w:ascii="Calibri" w:eastAsia="Calibri" w:hAnsi="Calibri" w:cs="Calibri"/>
              </w:rPr>
              <w:t xml:space="preserve">he board agreed to consolidate all documents in a single location and noted there was also a </w:t>
            </w:r>
            <w:r>
              <w:rPr>
                <w:rFonts w:ascii="Calibri" w:eastAsia="Calibri" w:hAnsi="Calibri" w:cs="Calibri"/>
                <w:color w:val="000000"/>
              </w:rPr>
              <w:t>need to prepare the infant school, leading to actions to create a live, collaborative document and to add infant-specific details. Governors were advised to focus on their specific areas of responsibility to ensure a comprehensive collective voice during the inspection.</w:t>
            </w:r>
          </w:p>
        </w:tc>
      </w:tr>
      <w:tr w:rsidR="0002441C" w14:paraId="72DD38AD" w14:textId="77777777">
        <w:trPr>
          <w:trHeight w:val="346"/>
        </w:trPr>
        <w:tc>
          <w:tcPr>
            <w:tcW w:w="3613" w:type="dxa"/>
            <w:gridSpan w:val="2"/>
            <w:tcBorders>
              <w:left w:val="single" w:sz="8" w:space="0" w:color="000000"/>
              <w:bottom w:val="single" w:sz="8" w:space="0" w:color="000000"/>
              <w:right w:val="single" w:sz="8" w:space="0" w:color="000000"/>
            </w:tcBorders>
            <w:vAlign w:val="center"/>
          </w:tcPr>
          <w:p w14:paraId="462E44FA" w14:textId="77777777" w:rsidR="0002441C"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t>A query was raised regarding whether pupils could confidently articulate the school's values and explain the behaviour policy.</w:t>
            </w:r>
          </w:p>
        </w:tc>
        <w:tc>
          <w:tcPr>
            <w:tcW w:w="7092" w:type="dxa"/>
            <w:gridSpan w:val="2"/>
            <w:tcBorders>
              <w:left w:val="single" w:sz="8" w:space="0" w:color="000000"/>
              <w:bottom w:val="single" w:sz="8" w:space="0" w:color="000000"/>
              <w:right w:val="single" w:sz="8" w:space="0" w:color="000000"/>
            </w:tcBorders>
            <w:vAlign w:val="center"/>
          </w:tcPr>
          <w:p w14:paraId="781904E2" w14:textId="77777777" w:rsidR="0002441C" w:rsidRDefault="00000000">
            <w:pPr>
              <w:pStyle w:val="Heading3"/>
              <w:rPr>
                <w:rFonts w:ascii="Calibri" w:eastAsia="Calibri" w:hAnsi="Calibri" w:cs="Calibri"/>
                <w:b w:val="0"/>
                <w:bCs w:val="0"/>
                <w:sz w:val="24"/>
                <w:szCs w:val="24"/>
              </w:rPr>
            </w:pPr>
            <w:r>
              <w:rPr>
                <w:rFonts w:ascii="Calibri" w:eastAsia="Calibri" w:hAnsi="Calibri" w:cs="Calibri"/>
                <w:b w:val="0"/>
                <w:bCs w:val="0"/>
                <w:sz w:val="24"/>
                <w:szCs w:val="24"/>
              </w:rPr>
              <w:t>Pupils should be able to discuss the school’s four core values and their meaning, as these are embedded in the assembly and personal development curriculum. The emphasis is on pupils understanding the values as lived principles, linked to British values, rather than rote recitation. The curriculum will next cover protected characteristics.</w:t>
            </w:r>
          </w:p>
        </w:tc>
      </w:tr>
      <w:tr w:rsidR="0002441C" w14:paraId="07812B7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BD43850"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02441C" w14:paraId="4D0634C9" w14:textId="77777777">
        <w:trPr>
          <w:trHeight w:val="200"/>
        </w:trPr>
        <w:tc>
          <w:tcPr>
            <w:tcW w:w="9283" w:type="dxa"/>
            <w:gridSpan w:val="3"/>
            <w:tcBorders>
              <w:left w:val="single" w:sz="8" w:space="0" w:color="000000"/>
              <w:bottom w:val="single" w:sz="8" w:space="0" w:color="000000"/>
              <w:right w:val="single" w:sz="8" w:space="0" w:color="000000"/>
            </w:tcBorders>
            <w:vAlign w:val="center"/>
          </w:tcPr>
          <w:p w14:paraId="016CEB8B"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Consolidate Ofsted preparation documents and provide a single, pinned link on Governor Hub to the live document on the shared drive.</w:t>
            </w:r>
          </w:p>
        </w:tc>
        <w:tc>
          <w:tcPr>
            <w:tcW w:w="1422" w:type="dxa"/>
            <w:tcBorders>
              <w:left w:val="single" w:sz="8" w:space="0" w:color="000000"/>
              <w:bottom w:val="single" w:sz="8" w:space="0" w:color="000000"/>
              <w:right w:val="single" w:sz="8" w:space="0" w:color="000000"/>
            </w:tcBorders>
            <w:vAlign w:val="center"/>
          </w:tcPr>
          <w:p w14:paraId="4A94E446"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JaB</w:t>
            </w:r>
          </w:p>
        </w:tc>
      </w:tr>
      <w:tr w:rsidR="0002441C" w14:paraId="19EA0EFA" w14:textId="77777777">
        <w:trPr>
          <w:trHeight w:val="200"/>
        </w:trPr>
        <w:tc>
          <w:tcPr>
            <w:tcW w:w="9283" w:type="dxa"/>
            <w:gridSpan w:val="3"/>
            <w:tcBorders>
              <w:left w:val="single" w:sz="8" w:space="0" w:color="000000"/>
              <w:bottom w:val="single" w:sz="8" w:space="0" w:color="000000"/>
              <w:right w:val="single" w:sz="8" w:space="0" w:color="000000"/>
            </w:tcBorders>
            <w:vAlign w:val="center"/>
          </w:tcPr>
          <w:p w14:paraId="0223E2C8"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Review the Ofsted preparation documents, add comments or edits</w:t>
            </w:r>
          </w:p>
        </w:tc>
        <w:tc>
          <w:tcPr>
            <w:tcW w:w="1422" w:type="dxa"/>
            <w:tcBorders>
              <w:left w:val="single" w:sz="8" w:space="0" w:color="000000"/>
              <w:bottom w:val="single" w:sz="8" w:space="0" w:color="000000"/>
              <w:right w:val="single" w:sz="8" w:space="0" w:color="000000"/>
            </w:tcBorders>
            <w:vAlign w:val="center"/>
          </w:tcPr>
          <w:p w14:paraId="35BFCB61"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All Governors</w:t>
            </w:r>
          </w:p>
        </w:tc>
      </w:tr>
      <w:tr w:rsidR="0002441C" w14:paraId="3E489EB8" w14:textId="77777777">
        <w:trPr>
          <w:trHeight w:val="200"/>
        </w:trPr>
        <w:tc>
          <w:tcPr>
            <w:tcW w:w="9283" w:type="dxa"/>
            <w:gridSpan w:val="3"/>
            <w:tcBorders>
              <w:left w:val="single" w:sz="8" w:space="0" w:color="000000"/>
              <w:bottom w:val="single" w:sz="8" w:space="0" w:color="000000"/>
              <w:right w:val="single" w:sz="8" w:space="0" w:color="000000"/>
            </w:tcBorders>
            <w:vAlign w:val="center"/>
          </w:tcPr>
          <w:p w14:paraId="434D42EB"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Coordinate with key governors to form a small, flexible team for the Ofsted inspection, focusing on safeguarding, pupil premium, and curriculum expertise.</w:t>
            </w:r>
          </w:p>
        </w:tc>
        <w:tc>
          <w:tcPr>
            <w:tcW w:w="1422" w:type="dxa"/>
            <w:tcBorders>
              <w:left w:val="single" w:sz="8" w:space="0" w:color="000000"/>
              <w:bottom w:val="single" w:sz="8" w:space="0" w:color="000000"/>
              <w:right w:val="single" w:sz="8" w:space="0" w:color="000000"/>
            </w:tcBorders>
            <w:vAlign w:val="center"/>
          </w:tcPr>
          <w:p w14:paraId="060D10C2"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 AS, HP</w:t>
            </w:r>
          </w:p>
        </w:tc>
      </w:tr>
    </w:tbl>
    <w:p w14:paraId="02FDD42F"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b"/>
        <w:tblW w:w="10705" w:type="dxa"/>
        <w:tblInd w:w="-79" w:type="dxa"/>
        <w:tblLayout w:type="fixed"/>
        <w:tblLook w:val="0600" w:firstRow="0" w:lastRow="0" w:firstColumn="0" w:lastColumn="0" w:noHBand="1" w:noVBand="1"/>
      </w:tblPr>
      <w:tblGrid>
        <w:gridCol w:w="1080"/>
        <w:gridCol w:w="9625"/>
      </w:tblGrid>
      <w:tr w:rsidR="0002441C" w14:paraId="4DEE6C13"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EC1D2A8"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4.1</w:t>
            </w:r>
          </w:p>
        </w:tc>
        <w:tc>
          <w:tcPr>
            <w:tcW w:w="9625"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CBB7117"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School improvement - Pupil Demographics/ Characteristics</w:t>
            </w:r>
          </w:p>
        </w:tc>
      </w:tr>
      <w:tr w:rsidR="0002441C" w14:paraId="1170BB95"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EB5043F"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reported on the preliminary reception intake numbers for the following academic year, noting they were consistent with the previous year and that the school was on track for full cohorts. The figures included </w:t>
            </w:r>
            <w:r>
              <w:rPr>
                <w:rFonts w:ascii="Calibri" w:eastAsia="Calibri" w:hAnsi="Calibri" w:cs="Calibri"/>
              </w:rPr>
              <w:t>56</w:t>
            </w:r>
            <w:r>
              <w:rPr>
                <w:rFonts w:ascii="Calibri" w:eastAsia="Calibri" w:hAnsi="Calibri" w:cs="Calibri"/>
                <w:color w:val="000000"/>
              </w:rPr>
              <w:t xml:space="preserve"> first-choice applications, </w:t>
            </w:r>
            <w:r>
              <w:rPr>
                <w:rFonts w:ascii="Calibri" w:eastAsia="Calibri" w:hAnsi="Calibri" w:cs="Calibri"/>
              </w:rPr>
              <w:t>61</w:t>
            </w:r>
            <w:r>
              <w:rPr>
                <w:rFonts w:ascii="Calibri" w:eastAsia="Calibri" w:hAnsi="Calibri" w:cs="Calibri"/>
                <w:color w:val="000000"/>
              </w:rPr>
              <w:t xml:space="preserve"> second-choice applications, and </w:t>
            </w:r>
            <w:r>
              <w:rPr>
                <w:rFonts w:ascii="Calibri" w:eastAsia="Calibri" w:hAnsi="Calibri" w:cs="Calibri"/>
              </w:rPr>
              <w:t>55</w:t>
            </w:r>
            <w:r>
              <w:rPr>
                <w:rFonts w:ascii="Calibri" w:eastAsia="Calibri" w:hAnsi="Calibri" w:cs="Calibri"/>
                <w:color w:val="000000"/>
              </w:rPr>
              <w:t xml:space="preserve"> third-choice preferences specifically for the school. This was considered positive news, particularly given the competitive context of the local area.</w:t>
            </w:r>
          </w:p>
        </w:tc>
      </w:tr>
    </w:tbl>
    <w:p w14:paraId="2CD8FCAD"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c"/>
        <w:tblW w:w="10705" w:type="dxa"/>
        <w:tblInd w:w="-79" w:type="dxa"/>
        <w:tblLayout w:type="fixed"/>
        <w:tblLook w:val="0600" w:firstRow="0" w:lastRow="0" w:firstColumn="0" w:lastColumn="0" w:noHBand="1" w:noVBand="1"/>
      </w:tblPr>
      <w:tblGrid>
        <w:gridCol w:w="1080"/>
        <w:gridCol w:w="9625"/>
      </w:tblGrid>
      <w:tr w:rsidR="0002441C" w14:paraId="47F9850D"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B623F82"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lastRenderedPageBreak/>
              <w:t>4.2</w:t>
            </w:r>
          </w:p>
        </w:tc>
        <w:tc>
          <w:tcPr>
            <w:tcW w:w="9625"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32B1CB8"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School improvement - Pupil Data. (Review data. IDSR data (if available). Primaries: - PIXL scores (based on T2 data) on Insight cover page)</w:t>
            </w:r>
          </w:p>
        </w:tc>
      </w:tr>
      <w:tr w:rsidR="0002441C" w14:paraId="180741ED"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A722521"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presented an overview of pupil data, explaining the rationale for making writing a school priority </w:t>
            </w:r>
            <w:proofErr w:type="gramStart"/>
            <w:r>
              <w:rPr>
                <w:rFonts w:ascii="Calibri" w:eastAsia="Calibri" w:hAnsi="Calibri" w:cs="Calibri"/>
                <w:color w:val="000000"/>
              </w:rPr>
              <w:t>despite it</w:t>
            </w:r>
            <w:proofErr w:type="gramEnd"/>
            <w:r>
              <w:rPr>
                <w:rFonts w:ascii="Calibri" w:eastAsia="Calibri" w:hAnsi="Calibri" w:cs="Calibri"/>
                <w:color w:val="000000"/>
              </w:rPr>
              <w:t xml:space="preserve"> not being identified as an area for improvement by Ofsted. The decision was based on internal data analysis. GF clarified that while infant school data was above the national average, writing outcomes were lower than in other core subjects. In the junior school, writing outcomes for Pupil Premium children at the end of Key Stage 2 were below the national average, although the figure for all pupils was at the national level. GF noted that writing progress was weaker compared to other core subjects and that currently the curriculum is disjointed between the infant and junior schools. The focus on writing was reinforced by trust-wide data and the recent government writing framework, leading to its adoption as a priority in the School Development Plan (SDP). GF reported that data for the current year confirmed writing remains a priority, with a key issue being that fundamental skills taught from Reception to Year 2, such as the use of full stops and capital letters, are not being retained by pupils in Years 3 to 6.</w:t>
            </w:r>
          </w:p>
        </w:tc>
      </w:tr>
    </w:tbl>
    <w:p w14:paraId="6978D9E4"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d"/>
        <w:tblW w:w="10705" w:type="dxa"/>
        <w:tblInd w:w="-79" w:type="dxa"/>
        <w:tblLayout w:type="fixed"/>
        <w:tblLook w:val="0600" w:firstRow="0" w:lastRow="0" w:firstColumn="0" w:lastColumn="0" w:noHBand="1" w:noVBand="1"/>
      </w:tblPr>
      <w:tblGrid>
        <w:gridCol w:w="1080"/>
        <w:gridCol w:w="1399"/>
        <w:gridCol w:w="6042"/>
        <w:gridCol w:w="2184"/>
      </w:tblGrid>
      <w:tr w:rsidR="0002441C" w14:paraId="4EEF78DE"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C4BF3E4"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4.3</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68D85987"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School improvement - Attendance/Behaviour.</w:t>
            </w:r>
          </w:p>
        </w:tc>
      </w:tr>
      <w:tr w:rsidR="0002441C" w14:paraId="219B4374"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3FCBAE8"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presented an analysis of the end-of-Term 2 attendance and behaviour data. Overall attendance was reported as strong. However, a concern was noted regarding pupil premium attendance at the infant school, where a small cohort exhibits very low attendance. At the junior school, severe absence was identified in three pupils linked to Emotionally Based School Avoidance (EBSA). One of these pupils is progressing through the SEND system towards specialist provision, a process hindered by local authority staffing gaps. The other two pupils are receiving support from the Inclusion Education Service.</w:t>
            </w:r>
          </w:p>
        </w:tc>
      </w:tr>
      <w:tr w:rsidR="0002441C" w14:paraId="704BF001"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C778591"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highlighted that the Junior school's percentage of pupils with Special Educational Needs (SEN) is slightly above the national average. This includes pupils with dyslexia, specific learning needs, and highly complex undiagnosed needs, and this context was noted as important for understanding the school's attendance and behaviour data.</w:t>
            </w:r>
          </w:p>
        </w:tc>
      </w:tr>
      <w:tr w:rsidR="0002441C" w14:paraId="29DC1E5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C433885"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GF informed the board of two recent suspensions at the junior school concerning the same pupil. The situation is complex, involving a challenging home life and support from social services. </w:t>
            </w:r>
          </w:p>
        </w:tc>
      </w:tr>
      <w:tr w:rsidR="0002441C" w14:paraId="26A566E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C85734E"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sdt>
              <w:sdtPr>
                <w:tag w:val="goog_rdk_0"/>
                <w:id w:val="1170793396"/>
              </w:sdtPr>
              <w:sdtContent/>
            </w:sdt>
            <w:r>
              <w:rPr>
                <w:rFonts w:ascii="Calibri" w:eastAsia="Calibri" w:hAnsi="Calibri" w:cs="Calibri"/>
              </w:rPr>
              <w:t xml:space="preserve">GF reported a medication incident at the junior school where a pupil was administered an incorrect dose. The error was reported to parents immediately, who sought medical advice. The child was monitored at a healthcare facility and suffered no ill effects. In response, the school retrained all Learning Support Assistants (LSAs) in medication administration, introduced colour-coding and separate storage for medications, and implemented a new double-checking process involving the lead first aider. The LSA who made the error was debriefed and supported. </w:t>
            </w:r>
          </w:p>
        </w:tc>
      </w:tr>
      <w:tr w:rsidR="0002441C" w14:paraId="17E9565F"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32699797"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CHALLENGE AND RESPONSE</w:t>
            </w:r>
          </w:p>
        </w:tc>
      </w:tr>
      <w:tr w:rsidR="0002441C" w14:paraId="3013CA0E" w14:textId="77777777">
        <w:trPr>
          <w:trHeight w:val="400"/>
        </w:trPr>
        <w:tc>
          <w:tcPr>
            <w:tcW w:w="2479" w:type="dxa"/>
            <w:gridSpan w:val="2"/>
            <w:tcBorders>
              <w:left w:val="single" w:sz="8" w:space="0" w:color="000000"/>
              <w:bottom w:val="single" w:sz="8" w:space="0" w:color="000000"/>
              <w:right w:val="single" w:sz="8" w:space="0" w:color="000000"/>
            </w:tcBorders>
          </w:tcPr>
          <w:p w14:paraId="6DA33E2B"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query was raised regarding the strategic process for handling pupil suspensions and how governors are kept informed.</w:t>
            </w:r>
          </w:p>
        </w:tc>
        <w:tc>
          <w:tcPr>
            <w:tcW w:w="8226" w:type="dxa"/>
            <w:gridSpan w:val="2"/>
            <w:tcBorders>
              <w:left w:val="single" w:sz="8" w:space="0" w:color="000000"/>
              <w:bottom w:val="single" w:sz="8" w:space="0" w:color="000000"/>
              <w:right w:val="single" w:sz="8" w:space="0" w:color="000000"/>
            </w:tcBorders>
            <w:vAlign w:val="center"/>
          </w:tcPr>
          <w:p w14:paraId="2A94F8A6"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confirmed that the school adheres to the trust's standard suspension letter process, which includes legal information regarding the right to appeal and to contact the chair of governors. It was agreed that directing this contact via the clerk would be preferable for governance oversight. GF stated she would review the letter's wording. It was also noted that for the pupil in question, the school is collaborating with the Inclusion Education service to explore alternative provisions.</w:t>
            </w:r>
          </w:p>
        </w:tc>
      </w:tr>
      <w:tr w:rsidR="0002441C" w14:paraId="347030BC"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23B3516"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lastRenderedPageBreak/>
              <w:t>ACTIONS</w:t>
            </w:r>
          </w:p>
        </w:tc>
      </w:tr>
      <w:tr w:rsidR="0002441C" w14:paraId="207CEBAA" w14:textId="77777777">
        <w:trPr>
          <w:trHeight w:val="200"/>
        </w:trPr>
        <w:tc>
          <w:tcPr>
            <w:tcW w:w="8521" w:type="dxa"/>
            <w:gridSpan w:val="3"/>
            <w:tcBorders>
              <w:left w:val="single" w:sz="8" w:space="0" w:color="000000"/>
              <w:bottom w:val="single" w:sz="8" w:space="0" w:color="000000"/>
              <w:right w:val="single" w:sz="8" w:space="0" w:color="000000"/>
            </w:tcBorders>
            <w:vAlign w:val="center"/>
          </w:tcPr>
          <w:p w14:paraId="4F0A686D"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Update the suspension letter template to specify that the chair of governors should be contacted via the clerk.</w:t>
            </w:r>
          </w:p>
        </w:tc>
        <w:tc>
          <w:tcPr>
            <w:tcW w:w="2184" w:type="dxa"/>
            <w:tcBorders>
              <w:left w:val="single" w:sz="8" w:space="0" w:color="000000"/>
              <w:bottom w:val="single" w:sz="8" w:space="0" w:color="000000"/>
              <w:right w:val="single" w:sz="8" w:space="0" w:color="000000"/>
            </w:tcBorders>
            <w:vAlign w:val="center"/>
          </w:tcPr>
          <w:p w14:paraId="5D54FD0E"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 JaB</w:t>
            </w:r>
          </w:p>
        </w:tc>
      </w:tr>
    </w:tbl>
    <w:p w14:paraId="7369899C"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e"/>
        <w:tblW w:w="10705" w:type="dxa"/>
        <w:tblInd w:w="-79" w:type="dxa"/>
        <w:tblLayout w:type="fixed"/>
        <w:tblLook w:val="0600" w:firstRow="0" w:lastRow="0" w:firstColumn="0" w:lastColumn="0" w:noHBand="1" w:noVBand="1"/>
      </w:tblPr>
      <w:tblGrid>
        <w:gridCol w:w="1079"/>
        <w:gridCol w:w="9626"/>
      </w:tblGrid>
      <w:tr w:rsidR="0002441C" w14:paraId="7ED3C18B"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32D10FFF"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4.4</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95F79E3"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School improvement - Monitoring. (Interrogate SIP report if available.)</w:t>
            </w:r>
          </w:p>
        </w:tc>
      </w:tr>
      <w:tr w:rsidR="0002441C" w14:paraId="6328031A"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1CB4E7A9"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HG reported on the monitoring of writing across the schools, noting significant progress. She highlighted the individual development of pupils and the effectiveness of teacher feedback. GF added that teachers prioritise disadvantaged pupils, resulting in increased in-the-moment feedback for these children. This practice has been linked to improved progress and will be adopted more widely in the junior school. However, it was noted that written feedback in the Infant and </w:t>
            </w:r>
            <w:r>
              <w:rPr>
                <w:rFonts w:ascii="Calibri" w:eastAsia="Calibri" w:hAnsi="Calibri" w:cs="Calibri"/>
              </w:rPr>
              <w:t>J</w:t>
            </w:r>
            <w:r>
              <w:rPr>
                <w:rFonts w:ascii="Calibri" w:eastAsia="Calibri" w:hAnsi="Calibri" w:cs="Calibri"/>
                <w:color w:val="000000"/>
              </w:rPr>
              <w:t>unior school remains underdeveloped and was identified as an area for further action.</w:t>
            </w:r>
          </w:p>
        </w:tc>
      </w:tr>
    </w:tbl>
    <w:p w14:paraId="110BEBF1"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
        <w:tblW w:w="10705" w:type="dxa"/>
        <w:tblInd w:w="-79" w:type="dxa"/>
        <w:tblLayout w:type="fixed"/>
        <w:tblLook w:val="0600" w:firstRow="0" w:lastRow="0" w:firstColumn="0" w:lastColumn="0" w:noHBand="1" w:noVBand="1"/>
      </w:tblPr>
      <w:tblGrid>
        <w:gridCol w:w="1079"/>
        <w:gridCol w:w="2534"/>
        <w:gridCol w:w="7092"/>
      </w:tblGrid>
      <w:tr w:rsidR="0002441C" w14:paraId="2E22FDA0"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1673AD2"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4.5</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40483B98"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 xml:space="preserve">School improvement - SDP. </w:t>
            </w:r>
          </w:p>
        </w:tc>
      </w:tr>
      <w:tr w:rsidR="0002441C" w14:paraId="40BE7A8C"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F68C0F0"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reported that the change to the new writing curriculum has been a significant adjustment, particularly for the junior school. Teachers have found the curriculum ambitious and complex, as it assumes prior knowledge that pupils do not possess, requiring heavy adaptation. The layered nature of writing composition has proven challenging for pupils who lack foundational skills from earlier years.</w:t>
            </w:r>
          </w:p>
        </w:tc>
      </w:tr>
      <w:tr w:rsidR="0002441C" w14:paraId="793B7F2B"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6703203"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outlined the support measures for staff, including an extra staff meeting in Term 2, followed by individual one-on-one planning sessions with the teaching and learning lead. Similar support is planned for Year 1 and 2 teachers.</w:t>
            </w:r>
          </w:p>
        </w:tc>
      </w:tr>
      <w:tr w:rsidR="0002441C" w14:paraId="302623B7"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7A8A8BE7"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Specific, intensive support has been arranged for Year 6, including four afternoons of work with the local authority, which has a cost implication, and additional writing booster sessions. A leadership meeting was held to share key learnings with staff for Term 4.</w:t>
            </w:r>
          </w:p>
        </w:tc>
      </w:tr>
      <w:tr w:rsidR="0002441C" w14:paraId="04999377"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234F4A1"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explained that the rationale for the curriculum change was to address the pupil premium attainment gap at the end of Key Stage 2 and the general lack of fundamental writing skills.</w:t>
            </w:r>
          </w:p>
        </w:tc>
      </w:tr>
      <w:tr w:rsidR="0002441C" w14:paraId="2B1FE6AF"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2BB00F1"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Monitoring has revealed that while the attainment gap is widest for pupil premium children, the new curriculum's focus on fundamentals is showing a positive impact on this group, particularly evident during the recent </w:t>
            </w:r>
            <w:proofErr w:type="gramStart"/>
            <w:r>
              <w:rPr>
                <w:rFonts w:ascii="Calibri" w:eastAsia="Calibri" w:hAnsi="Calibri" w:cs="Calibri"/>
              </w:rPr>
              <w:t>monitoring  in</w:t>
            </w:r>
            <w:proofErr w:type="gramEnd"/>
            <w:r>
              <w:rPr>
                <w:rFonts w:ascii="Calibri" w:eastAsia="Calibri" w:hAnsi="Calibri" w:cs="Calibri"/>
              </w:rPr>
              <w:t xml:space="preserve"> the infant school, indicating the long-term direction is correct.</w:t>
            </w:r>
          </w:p>
        </w:tc>
      </w:tr>
      <w:tr w:rsidR="0002441C" w14:paraId="43D860C6"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1E185D8" w14:textId="77777777" w:rsidR="0002441C" w:rsidRDefault="00000000">
            <w:pPr>
              <w:widowControl/>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b/>
                <w:bCs/>
              </w:rPr>
              <w:t>CHALLENGE AND RESPONSE</w:t>
            </w:r>
          </w:p>
        </w:tc>
      </w:tr>
      <w:tr w:rsidR="0002441C" w14:paraId="3FF79CBE" w14:textId="77777777">
        <w:trPr>
          <w:trHeight w:val="400"/>
        </w:trPr>
        <w:tc>
          <w:tcPr>
            <w:tcW w:w="3613" w:type="dxa"/>
            <w:gridSpan w:val="2"/>
            <w:tcBorders>
              <w:left w:val="single" w:sz="8" w:space="0" w:color="000000"/>
              <w:bottom w:val="single" w:sz="8" w:space="0" w:color="000000"/>
              <w:right w:val="single" w:sz="8" w:space="0" w:color="000000"/>
            </w:tcBorders>
          </w:tcPr>
          <w:p w14:paraId="5F055356"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query was raised regarding how the new curriculum will address the needs of disadvantaged groups, particularly pupil premium children, and whether it will prove effective for them whilst maintaining pace for other pupils.</w:t>
            </w:r>
          </w:p>
        </w:tc>
        <w:tc>
          <w:tcPr>
            <w:tcW w:w="7092" w:type="dxa"/>
            <w:tcBorders>
              <w:left w:val="single" w:sz="8" w:space="0" w:color="000000"/>
              <w:bottom w:val="single" w:sz="8" w:space="0" w:color="000000"/>
              <w:right w:val="single" w:sz="8" w:space="0" w:color="000000"/>
            </w:tcBorders>
          </w:tcPr>
          <w:p w14:paraId="6A5AFF0E"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The curriculum change is designed to be ambitious and focus on small, precise steps, which is expected to benefit pupil premium children by ensuring fundamentals are mastered before advancing. The current challenge is ensuring accessibility for all pupils whilst still allowing others to develop flair, as even pupils with flair are not mastering fundamentals like punctuation. The approach is to focus on fundamentals first, which will provide a solid base for all pupils to build upon. While progress may not yet be fully evident, the approach is expected to yield positive long-term outcomes.</w:t>
            </w:r>
          </w:p>
        </w:tc>
      </w:tr>
      <w:tr w:rsidR="0002441C" w14:paraId="5D9BD3AE" w14:textId="77777777">
        <w:trPr>
          <w:trHeight w:val="400"/>
        </w:trPr>
        <w:tc>
          <w:tcPr>
            <w:tcW w:w="3613" w:type="dxa"/>
            <w:gridSpan w:val="2"/>
            <w:tcBorders>
              <w:left w:val="single" w:sz="8" w:space="0" w:color="000000"/>
              <w:bottom w:val="single" w:sz="8" w:space="0" w:color="000000"/>
              <w:right w:val="single" w:sz="8" w:space="0" w:color="000000"/>
            </w:tcBorders>
          </w:tcPr>
          <w:p w14:paraId="19450B01"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A question was asked about the projected timeline for the </w:t>
            </w:r>
            <w:r>
              <w:rPr>
                <w:rFonts w:ascii="Calibri" w:eastAsia="Calibri" w:hAnsi="Calibri" w:cs="Calibri"/>
              </w:rPr>
              <w:lastRenderedPageBreak/>
              <w:t>curriculum to become more manageable and for improvements to be seen, considering the need for pupils to progress and teachers to adapt.</w:t>
            </w:r>
          </w:p>
        </w:tc>
        <w:tc>
          <w:tcPr>
            <w:tcW w:w="7092" w:type="dxa"/>
            <w:tcBorders>
              <w:left w:val="single" w:sz="8" w:space="0" w:color="000000"/>
              <w:bottom w:val="single" w:sz="8" w:space="0" w:color="000000"/>
              <w:right w:val="single" w:sz="8" w:space="0" w:color="000000"/>
            </w:tcBorders>
          </w:tcPr>
          <w:p w14:paraId="08C3E103"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lastRenderedPageBreak/>
              <w:t xml:space="preserve">Whilst the Trust has a two-year plan for writing, which includes gap-filling sessions at the start of each term, it is anticipated that it will be </w:t>
            </w:r>
            <w:r>
              <w:rPr>
                <w:rFonts w:ascii="Calibri" w:eastAsia="Calibri" w:hAnsi="Calibri" w:cs="Calibri"/>
              </w:rPr>
              <w:lastRenderedPageBreak/>
              <w:t>a three-year process for the school before the CUSP curriculum is fully embedded and requires less bespoke adaptation. This is partly due to the four-year Key Stage 2 curriculum and the transition from the infant school.</w:t>
            </w:r>
          </w:p>
        </w:tc>
      </w:tr>
      <w:tr w:rsidR="0002441C" w14:paraId="15528A73" w14:textId="77777777">
        <w:trPr>
          <w:trHeight w:val="400"/>
        </w:trPr>
        <w:tc>
          <w:tcPr>
            <w:tcW w:w="3613" w:type="dxa"/>
            <w:gridSpan w:val="2"/>
            <w:tcBorders>
              <w:left w:val="single" w:sz="8" w:space="0" w:color="000000"/>
              <w:bottom w:val="single" w:sz="8" w:space="0" w:color="000000"/>
              <w:right w:val="single" w:sz="8" w:space="0" w:color="000000"/>
            </w:tcBorders>
          </w:tcPr>
          <w:p w14:paraId="3E149EC4"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lastRenderedPageBreak/>
              <w:t>A question was asked whether the assessment methodology was changing to align with the new CUSP curriculum.</w:t>
            </w:r>
          </w:p>
        </w:tc>
        <w:tc>
          <w:tcPr>
            <w:tcW w:w="7092" w:type="dxa"/>
            <w:tcBorders>
              <w:left w:val="single" w:sz="8" w:space="0" w:color="000000"/>
              <w:bottom w:val="single" w:sz="8" w:space="0" w:color="000000"/>
              <w:right w:val="single" w:sz="8" w:space="0" w:color="000000"/>
            </w:tcBorders>
          </w:tcPr>
          <w:p w14:paraId="381B95E7"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Statutory assessments at Key Stage 1 and 2 remain aligned with the national curriculum. However, the school's Key Performance Indicators (KPIs) are now more detailed, breaking down expectations and adding layers from earlier key stages. </w:t>
            </w:r>
          </w:p>
        </w:tc>
      </w:tr>
      <w:tr w:rsidR="0002441C" w14:paraId="5217F0A9" w14:textId="77777777">
        <w:trPr>
          <w:trHeight w:val="400"/>
        </w:trPr>
        <w:tc>
          <w:tcPr>
            <w:tcW w:w="3613" w:type="dxa"/>
            <w:gridSpan w:val="2"/>
            <w:tcBorders>
              <w:left w:val="single" w:sz="8" w:space="0" w:color="000000"/>
              <w:bottom w:val="single" w:sz="8" w:space="0" w:color="000000"/>
              <w:right w:val="single" w:sz="8" w:space="0" w:color="000000"/>
            </w:tcBorders>
          </w:tcPr>
          <w:p w14:paraId="1A9614DA"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query was raised about accessibility arrangements for pupils, particularly those with SEND, during assessed writing tasks.</w:t>
            </w:r>
          </w:p>
        </w:tc>
        <w:tc>
          <w:tcPr>
            <w:tcW w:w="7092" w:type="dxa"/>
            <w:tcBorders>
              <w:left w:val="single" w:sz="8" w:space="0" w:color="000000"/>
              <w:bottom w:val="single" w:sz="8" w:space="0" w:color="000000"/>
              <w:right w:val="single" w:sz="8" w:space="0" w:color="000000"/>
            </w:tcBorders>
          </w:tcPr>
          <w:p w14:paraId="0AAAB615"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Accessibility arrangements, such as providing a quiet space, are typically implemented only for statutory published assessments in Year 6 due to manageability. While such arrangements would be made for certain children as a matter of course, it is not feasible to offer them to every child in every year group for all assessments due to resource constraints.</w:t>
            </w:r>
          </w:p>
        </w:tc>
      </w:tr>
      <w:tr w:rsidR="0002441C" w14:paraId="7D5035C3" w14:textId="77777777">
        <w:trPr>
          <w:trHeight w:val="400"/>
        </w:trPr>
        <w:tc>
          <w:tcPr>
            <w:tcW w:w="3613" w:type="dxa"/>
            <w:gridSpan w:val="2"/>
            <w:tcBorders>
              <w:left w:val="single" w:sz="8" w:space="0" w:color="000000"/>
              <w:bottom w:val="single" w:sz="8" w:space="0" w:color="000000"/>
              <w:right w:val="single" w:sz="8" w:space="0" w:color="000000"/>
            </w:tcBorders>
          </w:tcPr>
          <w:p w14:paraId="7B786399"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query was raised about the process for assessed pieces of writing, specifically whether pupils are aware a piece is for assessment.</w:t>
            </w:r>
          </w:p>
        </w:tc>
        <w:tc>
          <w:tcPr>
            <w:tcW w:w="7092" w:type="dxa"/>
            <w:tcBorders>
              <w:left w:val="single" w:sz="8" w:space="0" w:color="000000"/>
              <w:bottom w:val="single" w:sz="8" w:space="0" w:color="000000"/>
              <w:right w:val="single" w:sz="8" w:space="0" w:color="000000"/>
            </w:tcBorders>
          </w:tcPr>
          <w:p w14:paraId="5491ED7A"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confirmed that pupils are aware when a piece of writing is for assessment. However, the message to teachers has been reinforced that a single piece is not the sole determinant of a pupil's ability, and that their broader knowledge of a child's independent writing should also inform their judgement.</w:t>
            </w:r>
          </w:p>
        </w:tc>
      </w:tr>
      <w:tr w:rsidR="0002441C" w14:paraId="38509C8B" w14:textId="77777777">
        <w:trPr>
          <w:trHeight w:val="400"/>
        </w:trPr>
        <w:tc>
          <w:tcPr>
            <w:tcW w:w="3613" w:type="dxa"/>
            <w:gridSpan w:val="2"/>
            <w:tcBorders>
              <w:left w:val="single" w:sz="8" w:space="0" w:color="000000"/>
              <w:bottom w:val="single" w:sz="8" w:space="0" w:color="000000"/>
              <w:right w:val="single" w:sz="8" w:space="0" w:color="000000"/>
            </w:tcBorders>
          </w:tcPr>
          <w:p w14:paraId="092B6EE2"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question was asked about pupil feedback on the curriculum change, particularly from older pupils in Years 4, 5, and 6.</w:t>
            </w:r>
          </w:p>
        </w:tc>
        <w:tc>
          <w:tcPr>
            <w:tcW w:w="7092" w:type="dxa"/>
            <w:tcBorders>
              <w:left w:val="single" w:sz="8" w:space="0" w:color="000000"/>
              <w:bottom w:val="single" w:sz="8" w:space="0" w:color="000000"/>
              <w:right w:val="single" w:sz="8" w:space="0" w:color="000000"/>
            </w:tcBorders>
          </w:tcPr>
          <w:p w14:paraId="62497D16"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MG suggested that pupils are unlikely to recognise the change, as they perceive the current approach as normal for their year group. The most noticeable difference for them would be the reduction in time spent publishing final pieces of work, which they would likely prefer. </w:t>
            </w:r>
          </w:p>
        </w:tc>
      </w:tr>
    </w:tbl>
    <w:p w14:paraId="07925B63"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0"/>
        <w:tblW w:w="10705" w:type="dxa"/>
        <w:tblInd w:w="-79" w:type="dxa"/>
        <w:tblLayout w:type="fixed"/>
        <w:tblLook w:val="0600" w:firstRow="0" w:lastRow="0" w:firstColumn="0" w:lastColumn="0" w:noHBand="1" w:noVBand="1"/>
      </w:tblPr>
      <w:tblGrid>
        <w:gridCol w:w="1079"/>
        <w:gridCol w:w="2959"/>
        <w:gridCol w:w="6667"/>
      </w:tblGrid>
      <w:tr w:rsidR="0002441C" w14:paraId="7DAA921D"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4C8A51B"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4.6</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7072C2DD"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School improvement – SEF (Self Evaluation Framework)</w:t>
            </w:r>
          </w:p>
        </w:tc>
      </w:tr>
      <w:tr w:rsidR="0002441C" w14:paraId="0C42272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3B4703A"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introduced the first draft of the new Self-Evaluation Framework (SEF), a document created to align with the new Ofsted framework. GF explained that she had colour-coded the document to indicate areas where evidence is readily available versus areas where it needs to be collated, and that the new framework operates on a 'best fit' judgement.</w:t>
            </w:r>
          </w:p>
        </w:tc>
      </w:tr>
      <w:tr w:rsidR="0002441C" w14:paraId="238C9FAF"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0E3F075"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reported that for the junior school, the self-assessment for achievement is 'expected standard'. This is because, despite being above the national average over time, the school cannot yet prove 'strong standard' attainment for its disadvantaged pupils, particularly in writing, which is a key focus of the Ofsted framework. The infant school, with significantly above-national outcomes and a very small pupil premium cohort, may be in a stronger position.</w:t>
            </w:r>
          </w:p>
        </w:tc>
      </w:tr>
      <w:tr w:rsidR="0002441C" w14:paraId="1BDC0C82"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4D6B49E"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GF outlined the school's approach to inclusion, noting the CST curriculum was chosen because it is 'accessible by design' and mitigates barriers for disadvantaged pupils. Strategies include explicit vocabulary teaching, oracy, metacognitive approaches, and scaffolds. The school has strong evidence of identifying </w:t>
            </w:r>
            <w:r>
              <w:rPr>
                <w:rFonts w:ascii="Calibri" w:eastAsia="Calibri" w:hAnsi="Calibri" w:cs="Calibri"/>
              </w:rPr>
              <w:lastRenderedPageBreak/>
              <w:t>pupil needs quickly and accurately, including emerging needs, with evidence such as EHCPs and personal education plans.</w:t>
            </w:r>
          </w:p>
        </w:tc>
      </w:tr>
      <w:tr w:rsidR="0002441C" w14:paraId="07CEF03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3D89B69"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lastRenderedPageBreak/>
              <w:t>GF acknowledged historical mixed feedback from parents of pupils with SEND but highlighted that a recent SEN peer review was very positive. The review found that SEN support plans are well-tailored, informed by professionals, and evident in classroom practice. A key strength identified was the staff's deep knowledge of the children's barriers. A governor commented that the ability to demonstrate that SEN plans are being implemented in the classroom represents a significant step forward, making them more tailored and evidence based.</w:t>
            </w:r>
          </w:p>
        </w:tc>
      </w:tr>
      <w:tr w:rsidR="0002441C" w14:paraId="179A6E56"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8E295D2"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detailed specific inclusive strategies being used, such as pre-reading sessions, ELSA, social skills groups, and phonics interventions. She noted that while early data indicates a positive impact, particularly for pupil premium pupils, the school is not yet self-evaluating at 'strong standard' for inclusion due to limited data and analysis at this early stage of the new curriculum's implementation.</w:t>
            </w:r>
          </w:p>
        </w:tc>
      </w:tr>
      <w:tr w:rsidR="0002441C" w14:paraId="5E1CD5C8"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A8792F1"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gap in the SEF was identified regarding pupil and parent feedback. The standard CST parent survey was considered unsuitable, so it was agreed that a bespoke survey was needed. GF proposed a separate inclusion survey focusing on thriving, belonging, and achieving. It was suggested that stratifying responses by SEND and Pupil Premium status would help to analyse feedback effectively. EP-L and LD offered support in designing the survey.</w:t>
            </w:r>
          </w:p>
        </w:tc>
      </w:tr>
      <w:tr w:rsidR="0002441C" w14:paraId="6E28BC0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3423645" w14:textId="77777777" w:rsidR="0002441C" w:rsidRDefault="00000000">
            <w:pPr>
              <w:widowControl/>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b/>
                <w:bCs/>
              </w:rPr>
              <w:t>CHALLENGE AND RESPONSE</w:t>
            </w:r>
          </w:p>
        </w:tc>
      </w:tr>
      <w:tr w:rsidR="0002441C" w14:paraId="08BD52C8" w14:textId="77777777">
        <w:trPr>
          <w:trHeight w:val="348"/>
        </w:trPr>
        <w:tc>
          <w:tcPr>
            <w:tcW w:w="4038" w:type="dxa"/>
            <w:gridSpan w:val="2"/>
            <w:tcBorders>
              <w:top w:val="single" w:sz="4" w:space="0" w:color="000000"/>
              <w:left w:val="single" w:sz="4" w:space="0" w:color="000000"/>
              <w:bottom w:val="single" w:sz="4" w:space="0" w:color="000000"/>
              <w:right w:val="single" w:sz="4" w:space="0" w:color="000000"/>
            </w:tcBorders>
            <w:vAlign w:val="center"/>
          </w:tcPr>
          <w:p w14:paraId="2BC20C8B" w14:textId="77777777" w:rsidR="0002441C"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A query was raised as to whether parents of disadvantaged pupils would provide a similarly positive reflection on the school's provision, noting that historically, parental perception has been a challenge.</w:t>
            </w:r>
          </w:p>
        </w:tc>
        <w:tc>
          <w:tcPr>
            <w:tcW w:w="6667" w:type="dxa"/>
            <w:tcBorders>
              <w:top w:val="single" w:sz="4" w:space="0" w:color="000000"/>
              <w:left w:val="single" w:sz="4" w:space="0" w:color="000000"/>
              <w:bottom w:val="single" w:sz="4" w:space="0" w:color="000000"/>
              <w:right w:val="single" w:sz="4" w:space="0" w:color="000000"/>
            </w:tcBorders>
            <w:vAlign w:val="center"/>
          </w:tcPr>
          <w:p w14:paraId="4E680CBB" w14:textId="77777777" w:rsidR="0002441C"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It was explained that parents are believed to feel better supported due to improved communication from a dedicated senior leader. While some frustrations may persist, it is felt that parents recognise the school is doing a great deal within its capacity. It was also noted that Ofsted typically uses the 'Ofsted View' parent survey rather than interviewing individual parents of specific pupils.</w:t>
            </w:r>
          </w:p>
        </w:tc>
      </w:tr>
      <w:tr w:rsidR="0002441C" w14:paraId="594844B7" w14:textId="77777777">
        <w:trPr>
          <w:trHeight w:val="348"/>
        </w:trPr>
        <w:tc>
          <w:tcPr>
            <w:tcW w:w="4038" w:type="dxa"/>
            <w:gridSpan w:val="2"/>
            <w:tcBorders>
              <w:top w:val="single" w:sz="4" w:space="0" w:color="000000"/>
              <w:left w:val="single" w:sz="4" w:space="0" w:color="000000"/>
              <w:bottom w:val="single" w:sz="4" w:space="0" w:color="000000"/>
              <w:right w:val="single" w:sz="4" w:space="0" w:color="000000"/>
            </w:tcBorders>
            <w:vAlign w:val="center"/>
          </w:tcPr>
          <w:p w14:paraId="621D64E6" w14:textId="77777777" w:rsidR="0002441C"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A question was asked whether the school's higher-than-average SEND numbers could be attributed to a positive reputation for inclusion, thereby attracting more families.</w:t>
            </w:r>
          </w:p>
        </w:tc>
        <w:tc>
          <w:tcPr>
            <w:tcW w:w="6667" w:type="dxa"/>
            <w:tcBorders>
              <w:top w:val="single" w:sz="4" w:space="0" w:color="000000"/>
              <w:left w:val="single" w:sz="4" w:space="0" w:color="000000"/>
              <w:bottom w:val="single" w:sz="4" w:space="0" w:color="000000"/>
              <w:right w:val="single" w:sz="4" w:space="0" w:color="000000"/>
            </w:tcBorders>
            <w:vAlign w:val="center"/>
          </w:tcPr>
          <w:p w14:paraId="1CB4A5C5" w14:textId="77777777" w:rsidR="0002441C" w:rsidRDefault="00000000">
            <w:pPr>
              <w:widowControl/>
              <w:pBdr>
                <w:top w:val="nil"/>
                <w:left w:val="nil"/>
                <w:bottom w:val="nil"/>
                <w:right w:val="nil"/>
                <w:between w:val="nil"/>
              </w:pBdr>
              <w:spacing w:line="276" w:lineRule="auto"/>
              <w:rPr>
                <w:rFonts w:ascii="Calibri" w:eastAsia="Calibri" w:hAnsi="Calibri" w:cs="Calibri"/>
              </w:rPr>
            </w:pPr>
            <w:r>
              <w:rPr>
                <w:rFonts w:ascii="Calibri" w:eastAsia="Calibri" w:hAnsi="Calibri" w:cs="Calibri"/>
              </w:rPr>
              <w:t xml:space="preserve">GF agreed this was a possibility, as the school has a reputation for inclusion. However, it was pointed out that the current numbers are likely a result of very effective early identification of need. </w:t>
            </w:r>
          </w:p>
        </w:tc>
      </w:tr>
    </w:tbl>
    <w:p w14:paraId="44810BA1" w14:textId="77777777" w:rsidR="0002441C" w:rsidRDefault="00000000">
      <w:pPr>
        <w:rPr>
          <w:rFonts w:ascii="Calibri" w:eastAsia="Calibri" w:hAnsi="Calibri" w:cs="Calibri"/>
          <w:b/>
          <w:bCs/>
        </w:rPr>
      </w:pPr>
      <w:r>
        <w:rPr>
          <w:rFonts w:ascii="Calibri" w:eastAsia="Calibri" w:hAnsi="Calibri" w:cs="Calibri"/>
          <w:b/>
          <w:bCs/>
        </w:rPr>
        <w:t>ACTIONS</w:t>
      </w:r>
    </w:p>
    <w:tbl>
      <w:tblPr>
        <w:tblStyle w:val="aff1"/>
        <w:tblW w:w="10705" w:type="dxa"/>
        <w:tblInd w:w="-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283"/>
        <w:gridCol w:w="1422"/>
      </w:tblGrid>
      <w:tr w:rsidR="0002441C" w14:paraId="13B48E0B" w14:textId="77777777">
        <w:trPr>
          <w:trHeight w:val="348"/>
        </w:trPr>
        <w:tc>
          <w:tcPr>
            <w:tcW w:w="9283" w:type="dxa"/>
            <w:vAlign w:val="center"/>
          </w:tcPr>
          <w:p w14:paraId="25A7EF97"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Design inclusion survey for parents and pupils, focusing on thriving, belonging, and achieving, with stratification for SEND and Pupil Premium status.</w:t>
            </w:r>
          </w:p>
        </w:tc>
        <w:tc>
          <w:tcPr>
            <w:tcW w:w="1422" w:type="dxa"/>
            <w:vAlign w:val="center"/>
          </w:tcPr>
          <w:p w14:paraId="369F2E00"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 EP-L, LD</w:t>
            </w:r>
          </w:p>
        </w:tc>
      </w:tr>
      <w:tr w:rsidR="0002441C" w14:paraId="1C217DEF" w14:textId="77777777">
        <w:trPr>
          <w:trHeight w:val="348"/>
        </w:trPr>
        <w:tc>
          <w:tcPr>
            <w:tcW w:w="9283" w:type="dxa"/>
            <w:vAlign w:val="center"/>
          </w:tcPr>
          <w:p w14:paraId="10B9FFE2"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Analyse responses from the inclusion survey to identify trends and areas for further development.</w:t>
            </w:r>
          </w:p>
        </w:tc>
        <w:tc>
          <w:tcPr>
            <w:tcW w:w="1422" w:type="dxa"/>
            <w:vAlign w:val="center"/>
          </w:tcPr>
          <w:p w14:paraId="4A9A4A4E"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 EP-L</w:t>
            </w:r>
          </w:p>
        </w:tc>
      </w:tr>
    </w:tbl>
    <w:p w14:paraId="4BE90D5E"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2"/>
        <w:tblW w:w="10705" w:type="dxa"/>
        <w:tblInd w:w="-79" w:type="dxa"/>
        <w:tblLayout w:type="fixed"/>
        <w:tblLook w:val="0600" w:firstRow="0" w:lastRow="0" w:firstColumn="0" w:lastColumn="0" w:noHBand="1" w:noVBand="1"/>
      </w:tblPr>
      <w:tblGrid>
        <w:gridCol w:w="1080"/>
        <w:gridCol w:w="8628"/>
        <w:gridCol w:w="997"/>
      </w:tblGrid>
      <w:tr w:rsidR="0002441C" w14:paraId="012B1CE4"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6B2BD4B"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5.0</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5214C089"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 xml:space="preserve">Governance  </w:t>
            </w:r>
          </w:p>
        </w:tc>
      </w:tr>
      <w:tr w:rsidR="0002441C" w14:paraId="14920D4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E00177D"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The discussion on governance commenced with a review of the school's published data. A concern was raised regarding the SEND report on the website, which led to the discovery that there is no record </w:t>
            </w:r>
            <w:r>
              <w:rPr>
                <w:rFonts w:ascii="Calibri" w:eastAsia="Calibri" w:hAnsi="Calibri" w:cs="Calibri"/>
              </w:rPr>
              <w:t>o</w:t>
            </w:r>
            <w:r>
              <w:rPr>
                <w:rFonts w:ascii="Calibri" w:eastAsia="Calibri" w:hAnsi="Calibri" w:cs="Calibri"/>
                <w:color w:val="000000"/>
              </w:rPr>
              <w:t xml:space="preserve">f the junior school's report being formally approved and minuted, </w:t>
            </w:r>
            <w:r>
              <w:rPr>
                <w:rFonts w:ascii="Calibri" w:eastAsia="Calibri" w:hAnsi="Calibri" w:cs="Calibri"/>
              </w:rPr>
              <w:t>though it was believed to have happened</w:t>
            </w:r>
            <w:r>
              <w:rPr>
                <w:rFonts w:ascii="Calibri" w:eastAsia="Calibri" w:hAnsi="Calibri" w:cs="Calibri"/>
                <w:color w:val="000000"/>
              </w:rPr>
              <w:t xml:space="preserve">. Report to be posted on GovenorHub for formal governor approval.  This will be minuted at Term 4 LGB. </w:t>
            </w:r>
            <w:r>
              <w:rPr>
                <w:rFonts w:ascii="Calibri" w:eastAsia="Calibri" w:hAnsi="Calibri" w:cs="Calibri"/>
                <w:color w:val="000000"/>
              </w:rPr>
              <w:lastRenderedPageBreak/>
              <w:t>The committee then noted that the trust-level staff questionnaire had recently closed, with feedback anticipated in Term 4 for the board's review. The board noted that there were no formal complaints to review.</w:t>
            </w:r>
          </w:p>
        </w:tc>
      </w:tr>
      <w:tr w:rsidR="0002441C" w14:paraId="70B62EE4"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2131269"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lastRenderedPageBreak/>
              <w:t>ACTIONS</w:t>
            </w:r>
          </w:p>
        </w:tc>
      </w:tr>
      <w:tr w:rsidR="0002441C" w14:paraId="0FC1F3BF"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1831DE7C"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Post the junior school's SEND report on Governor Hub for governor review and approval and ask governors to approve.</w:t>
            </w:r>
          </w:p>
        </w:tc>
        <w:tc>
          <w:tcPr>
            <w:tcW w:w="997" w:type="dxa"/>
            <w:tcBorders>
              <w:left w:val="single" w:sz="8" w:space="0" w:color="000000"/>
              <w:bottom w:val="single" w:sz="8" w:space="0" w:color="000000"/>
              <w:right w:val="single" w:sz="8" w:space="0" w:color="000000"/>
            </w:tcBorders>
            <w:vAlign w:val="center"/>
          </w:tcPr>
          <w:p w14:paraId="4C31060D"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JaB</w:t>
            </w:r>
          </w:p>
        </w:tc>
      </w:tr>
    </w:tbl>
    <w:p w14:paraId="1EB0A3C1"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3"/>
        <w:tblW w:w="10705" w:type="dxa"/>
        <w:tblInd w:w="-79" w:type="dxa"/>
        <w:tblLayout w:type="fixed"/>
        <w:tblLook w:val="0600" w:firstRow="0" w:lastRow="0" w:firstColumn="0" w:lastColumn="0" w:noHBand="1" w:noVBand="1"/>
      </w:tblPr>
      <w:tblGrid>
        <w:gridCol w:w="1080"/>
        <w:gridCol w:w="8345"/>
        <w:gridCol w:w="1280"/>
      </w:tblGrid>
      <w:tr w:rsidR="0002441C" w14:paraId="48553FC2"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986F3E2"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6.1</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49471DF6"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Finance - Receive and consider management accounts for current year and final reserves position from previous year</w:t>
            </w:r>
          </w:p>
        </w:tc>
      </w:tr>
      <w:tr w:rsidR="0002441C" w14:paraId="6C0F9C24"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097BC3B5"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The board discussed the absence of the management accounts for the current meeting and the best way to ensure they are available in a timely manner for future meetings.  GF noted from her Head's report that the junior school accounts showed greater variance than the infant </w:t>
            </w:r>
            <w:proofErr w:type="spellStart"/>
            <w:r>
              <w:rPr>
                <w:rFonts w:ascii="Calibri" w:eastAsia="Calibri" w:hAnsi="Calibri" w:cs="Calibri"/>
                <w:color w:val="000000"/>
              </w:rPr>
              <w:t>school's</w:t>
            </w:r>
            <w:proofErr w:type="spellEnd"/>
            <w:r>
              <w:rPr>
                <w:rFonts w:ascii="Calibri" w:eastAsia="Calibri" w:hAnsi="Calibri" w:cs="Calibri"/>
                <w:color w:val="000000"/>
              </w:rPr>
              <w:t xml:space="preserve">, which she attributed to staffing challenges. </w:t>
            </w:r>
          </w:p>
        </w:tc>
      </w:tr>
      <w:tr w:rsidR="0002441C" w14:paraId="6C1E00E7"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2DE6036C"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02441C" w14:paraId="737F1F5C" w14:textId="77777777">
        <w:trPr>
          <w:trHeight w:val="200"/>
        </w:trPr>
        <w:tc>
          <w:tcPr>
            <w:tcW w:w="9425" w:type="dxa"/>
            <w:gridSpan w:val="2"/>
            <w:tcBorders>
              <w:left w:val="single" w:sz="8" w:space="0" w:color="000000"/>
              <w:bottom w:val="single" w:sz="8" w:space="0" w:color="000000"/>
              <w:right w:val="single" w:sz="8" w:space="0" w:color="000000"/>
            </w:tcBorders>
          </w:tcPr>
          <w:p w14:paraId="5615805F"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Liaise with the finance team to streamline the process for distributing management accounts to the board via the Guvnor hub or other agreed channels.</w:t>
            </w:r>
          </w:p>
        </w:tc>
        <w:tc>
          <w:tcPr>
            <w:tcW w:w="1280" w:type="dxa"/>
            <w:tcBorders>
              <w:left w:val="single" w:sz="8" w:space="0" w:color="000000"/>
              <w:bottom w:val="single" w:sz="8" w:space="0" w:color="000000"/>
              <w:right w:val="single" w:sz="8" w:space="0" w:color="000000"/>
            </w:tcBorders>
          </w:tcPr>
          <w:p w14:paraId="11EAB06E"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JaB</w:t>
            </w:r>
          </w:p>
        </w:tc>
      </w:tr>
    </w:tbl>
    <w:p w14:paraId="6EE2FD7C"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4"/>
        <w:tblW w:w="10705" w:type="dxa"/>
        <w:tblInd w:w="-79" w:type="dxa"/>
        <w:tblLayout w:type="fixed"/>
        <w:tblLook w:val="0600" w:firstRow="0" w:lastRow="0" w:firstColumn="0" w:lastColumn="0" w:noHBand="1" w:noVBand="1"/>
      </w:tblPr>
      <w:tblGrid>
        <w:gridCol w:w="1080"/>
        <w:gridCol w:w="2675"/>
        <w:gridCol w:w="6950"/>
      </w:tblGrid>
      <w:tr w:rsidR="0002441C" w14:paraId="1E6B7B88"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5238200"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7.2</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0E3EE889"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Policies - CST school level policies to adopt (Admissions Policies 2027/28 (both schools))</w:t>
            </w:r>
          </w:p>
        </w:tc>
      </w:tr>
      <w:tr w:rsidR="0002441C" w14:paraId="60D08199"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1C6EC6E2"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HP introduced the admissions arrangements for both the infant and junior schools for the 2027/28 academic year. JaB clarified that the board must confirm its acceptance of the policies, as there is no option to reject them at this stage without prior consultation. It was confirmed that the two-form entry for the infants' school remains appropriate, given falling birth rates and current capacity levels, with the junior school admissions following accordingly.</w:t>
            </w:r>
          </w:p>
        </w:tc>
      </w:tr>
      <w:tr w:rsidR="0002441C" w14:paraId="7C92271F"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A08BEF2" w14:textId="77777777" w:rsidR="0002441C" w:rsidRDefault="00000000">
            <w:pPr>
              <w:widowControl/>
              <w:pBdr>
                <w:top w:val="nil"/>
                <w:left w:val="nil"/>
                <w:bottom w:val="nil"/>
                <w:right w:val="nil"/>
                <w:between w:val="nil"/>
              </w:pBdr>
              <w:spacing w:line="276" w:lineRule="auto"/>
              <w:rPr>
                <w:rFonts w:ascii="Calibri" w:eastAsia="Calibri" w:hAnsi="Calibri" w:cs="Calibri"/>
                <w:b/>
                <w:bCs/>
              </w:rPr>
            </w:pPr>
            <w:r>
              <w:rPr>
                <w:rFonts w:ascii="Calibri" w:eastAsia="Calibri" w:hAnsi="Calibri" w:cs="Calibri"/>
                <w:b/>
                <w:bCs/>
              </w:rPr>
              <w:t>CHALLENGE AND RESPONSE</w:t>
            </w:r>
          </w:p>
        </w:tc>
      </w:tr>
      <w:tr w:rsidR="0002441C" w14:paraId="0976AF5E"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0DF3CEF8"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question was asked about the staffing implications of the reduced Published Admission Number (PAN) and whether this would result in compulsory redundancies.</w:t>
            </w:r>
          </w:p>
        </w:tc>
        <w:tc>
          <w:tcPr>
            <w:tcW w:w="6950" w:type="dxa"/>
            <w:tcBorders>
              <w:left w:val="single" w:sz="8" w:space="0" w:color="000000"/>
              <w:bottom w:val="single" w:sz="8" w:space="0" w:color="000000"/>
              <w:right w:val="single" w:sz="8" w:space="0" w:color="000000"/>
            </w:tcBorders>
            <w:vAlign w:val="center"/>
          </w:tcPr>
          <w:p w14:paraId="5D57B990"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It was explained that the impact on staffing </w:t>
            </w:r>
            <w:proofErr w:type="gramStart"/>
            <w:r>
              <w:rPr>
                <w:rFonts w:ascii="Calibri" w:eastAsia="Calibri" w:hAnsi="Calibri" w:cs="Calibri"/>
              </w:rPr>
              <w:t>had</w:t>
            </w:r>
            <w:proofErr w:type="gramEnd"/>
            <w:r>
              <w:rPr>
                <w:rFonts w:ascii="Calibri" w:eastAsia="Calibri" w:hAnsi="Calibri" w:cs="Calibri"/>
              </w:rPr>
              <w:t xml:space="preserve"> been modelled over the past three years and managed through natural staff turnover, such as retirements and the non-renewal of fixed-term contracts. This proactive planning meant that a formal management of change process was not necessary, and no compulsory redundancies would be required.</w:t>
            </w:r>
          </w:p>
        </w:tc>
      </w:tr>
      <w:tr w:rsidR="0002441C" w14:paraId="1BB0F46A" w14:textId="77777777">
        <w:trPr>
          <w:trHeight w:val="400"/>
        </w:trPr>
        <w:tc>
          <w:tcPr>
            <w:tcW w:w="3755" w:type="dxa"/>
            <w:gridSpan w:val="2"/>
            <w:tcBorders>
              <w:left w:val="single" w:sz="8" w:space="0" w:color="000000"/>
              <w:bottom w:val="single" w:sz="8" w:space="0" w:color="000000"/>
              <w:right w:val="single" w:sz="8" w:space="0" w:color="000000"/>
            </w:tcBorders>
            <w:vAlign w:val="center"/>
          </w:tcPr>
          <w:p w14:paraId="29326BC3"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Are there any substantive differences in the policies compared to previous versions?</w:t>
            </w:r>
          </w:p>
        </w:tc>
        <w:tc>
          <w:tcPr>
            <w:tcW w:w="6950" w:type="dxa"/>
            <w:tcBorders>
              <w:left w:val="single" w:sz="8" w:space="0" w:color="000000"/>
              <w:bottom w:val="single" w:sz="8" w:space="0" w:color="000000"/>
              <w:right w:val="single" w:sz="8" w:space="0" w:color="000000"/>
            </w:tcBorders>
            <w:vAlign w:val="center"/>
          </w:tcPr>
          <w:p w14:paraId="0E5CDDAD"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The policies largely remain the same, though it was noted that neither school had included the option to prioritise children of staff. This would require a separate consultation process if it were to be considered in the future.</w:t>
            </w:r>
          </w:p>
        </w:tc>
      </w:tr>
      <w:tr w:rsidR="0002441C" w14:paraId="24A03DDD"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6E9D53AE"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02441C" w14:paraId="2517A86A"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272004F" w14:textId="77777777" w:rsidR="0002441C" w:rsidRDefault="00000000">
            <w:pPr>
              <w:pStyle w:val="Heading3"/>
              <w:rPr>
                <w:rFonts w:ascii="Calibri" w:eastAsia="Calibri" w:hAnsi="Calibri" w:cs="Calibri"/>
                <w:color w:val="0070C0"/>
                <w:sz w:val="24"/>
                <w:szCs w:val="24"/>
              </w:rPr>
            </w:pPr>
            <w:r>
              <w:rPr>
                <w:rFonts w:ascii="Calibri" w:eastAsia="Calibri" w:hAnsi="Calibri" w:cs="Calibri"/>
                <w:color w:val="0070C0"/>
                <w:sz w:val="24"/>
                <w:szCs w:val="24"/>
              </w:rPr>
              <w:t>Determination of Admissions Arrangements 2027/28</w:t>
            </w:r>
          </w:p>
          <w:p w14:paraId="5A8292F1" w14:textId="77777777" w:rsidR="0002441C" w:rsidRDefault="00000000">
            <w:pPr>
              <w:pStyle w:val="Heading3"/>
              <w:rPr>
                <w:rFonts w:ascii="Calibri" w:eastAsia="Calibri" w:hAnsi="Calibri" w:cs="Calibri"/>
                <w:color w:val="0070C0"/>
                <w:sz w:val="24"/>
                <w:szCs w:val="24"/>
              </w:rPr>
            </w:pPr>
            <w:r>
              <w:rPr>
                <w:rFonts w:ascii="Calibri" w:eastAsia="Calibri" w:hAnsi="Calibri" w:cs="Calibri"/>
                <w:color w:val="0070C0"/>
                <w:sz w:val="24"/>
                <w:szCs w:val="24"/>
              </w:rPr>
              <w:t>Draft admissions arrangements 2027/28 including relevant application forms were circulated to governors prior to the meeting. Governors agreed to determine the arrangements for Henleaze Infant School and Henleaze Junior School for 2027/28</w:t>
            </w:r>
          </w:p>
          <w:p w14:paraId="5E4C02E3" w14:textId="77777777" w:rsidR="0002441C" w:rsidRDefault="0002441C">
            <w:pPr>
              <w:pStyle w:val="Heading3"/>
              <w:rPr>
                <w:rFonts w:ascii="Calibri" w:eastAsia="Calibri" w:hAnsi="Calibri" w:cs="Calibri"/>
                <w:sz w:val="24"/>
                <w:szCs w:val="24"/>
              </w:rPr>
            </w:pPr>
          </w:p>
        </w:tc>
      </w:tr>
    </w:tbl>
    <w:p w14:paraId="17A4BE35"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p w14:paraId="2621A69C"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5"/>
        <w:tblW w:w="10705" w:type="dxa"/>
        <w:tblInd w:w="-79" w:type="dxa"/>
        <w:tblLayout w:type="fixed"/>
        <w:tblLook w:val="0600" w:firstRow="0" w:lastRow="0" w:firstColumn="0" w:lastColumn="0" w:noHBand="1" w:noVBand="1"/>
      </w:tblPr>
      <w:tblGrid>
        <w:gridCol w:w="1080"/>
        <w:gridCol w:w="9625"/>
      </w:tblGrid>
      <w:tr w:rsidR="0002441C" w14:paraId="28F36E40"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40180B7"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7.3</w:t>
            </w:r>
          </w:p>
        </w:tc>
        <w:tc>
          <w:tcPr>
            <w:tcW w:w="9625"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8B3E8B5"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Policies - School policies to approve (HIS Pay Policy)</w:t>
            </w:r>
          </w:p>
        </w:tc>
      </w:tr>
      <w:tr w:rsidR="0002441C" w14:paraId="3899ABED"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1DD968E4"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JaB reported that MF had submitted comments regarding the HIS Pay Policy, noting inconsistencies such as references to defunct council policies. e.g. at 27.10 (contact with BCC HR), or the Council overtime policy and supply teacher payment policies referred to.  It was clarified that the policy was 'frozen' due to trust requirements and TUPE regulations, and this applied to both the infant and junior school policies.</w:t>
            </w:r>
          </w:p>
        </w:tc>
      </w:tr>
      <w:tr w:rsidR="0002441C" w14:paraId="1F12BBEB"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7A65664E"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DECISIONS</w:t>
            </w:r>
          </w:p>
        </w:tc>
      </w:tr>
      <w:tr w:rsidR="0002441C" w14:paraId="598D8F0D"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2CBFEA55"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0070C0"/>
              </w:rPr>
            </w:pPr>
            <w:r>
              <w:rPr>
                <w:rFonts w:ascii="Calibri" w:eastAsia="Calibri" w:hAnsi="Calibri" w:cs="Calibri"/>
                <w:b/>
                <w:bCs/>
                <w:color w:val="0070C0"/>
              </w:rPr>
              <w:t>The HIS Pay Policy was approved as presented, with the understanding that its principles remain unchanged and that noted inconsistencies were recorded in the minutes.</w:t>
            </w:r>
          </w:p>
        </w:tc>
      </w:tr>
    </w:tbl>
    <w:p w14:paraId="26B5CD33"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6"/>
        <w:tblW w:w="10705" w:type="dxa"/>
        <w:tblInd w:w="-79" w:type="dxa"/>
        <w:tblLayout w:type="fixed"/>
        <w:tblLook w:val="0600" w:firstRow="0" w:lastRow="0" w:firstColumn="0" w:lastColumn="0" w:noHBand="1" w:noVBand="1"/>
      </w:tblPr>
      <w:tblGrid>
        <w:gridCol w:w="1079"/>
        <w:gridCol w:w="9626"/>
      </w:tblGrid>
      <w:tr w:rsidR="0002441C" w14:paraId="11537E52"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278DF173" w14:textId="77777777" w:rsidR="0002441C" w:rsidRDefault="00000000">
            <w:pPr>
              <w:keepNext/>
              <w:keepLines/>
              <w:rPr>
                <w:rFonts w:ascii="Calibri" w:eastAsia="Calibri" w:hAnsi="Calibri" w:cs="Calibri"/>
                <w:b/>
                <w:bCs/>
                <w:color w:val="000000"/>
              </w:rPr>
            </w:pPr>
            <w:r>
              <w:rPr>
                <w:rFonts w:ascii="Calibri" w:eastAsia="Calibri" w:hAnsi="Calibri" w:cs="Calibri"/>
                <w:b/>
                <w:bCs/>
                <w:color w:val="000000"/>
              </w:rPr>
              <w:t>7.4</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B748D0A" w14:textId="77777777" w:rsidR="0002441C" w:rsidRDefault="00000000">
            <w:pPr>
              <w:keepNext/>
              <w:keepLines/>
              <w:rPr>
                <w:rFonts w:ascii="Calibri" w:eastAsia="Calibri" w:hAnsi="Calibri" w:cs="Calibri"/>
                <w:b/>
                <w:bCs/>
                <w:color w:val="000000"/>
              </w:rPr>
            </w:pPr>
            <w:r>
              <w:rPr>
                <w:rFonts w:ascii="Calibri" w:eastAsia="Calibri" w:hAnsi="Calibri" w:cs="Calibri"/>
                <w:b/>
                <w:bCs/>
                <w:color w:val="000000"/>
              </w:rPr>
              <w:t>Policies - School policies and procedures for information (Allergy Policy (HJS))</w:t>
            </w:r>
          </w:p>
        </w:tc>
      </w:tr>
      <w:tr w:rsidR="0002441C" w14:paraId="68DF9E4A"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B21C06B" w14:textId="77777777" w:rsidR="0002441C" w:rsidRDefault="00000000">
            <w:pPr>
              <w:keepNext/>
              <w:keepLines/>
              <w:rPr>
                <w:rFonts w:ascii="Calibri" w:eastAsia="Calibri" w:hAnsi="Calibri" w:cs="Calibri"/>
                <w:b/>
                <w:bCs/>
                <w:color w:val="000000"/>
                <w:sz w:val="20"/>
                <w:szCs w:val="20"/>
              </w:rPr>
            </w:pPr>
            <w:r>
              <w:rPr>
                <w:rFonts w:ascii="Calibri" w:eastAsia="Calibri" w:hAnsi="Calibri" w:cs="Calibri"/>
                <w:b/>
                <w:bCs/>
                <w:color w:val="000000"/>
                <w:sz w:val="28"/>
                <w:szCs w:val="28"/>
              </w:rPr>
              <w:t>DECISIONS</w:t>
            </w:r>
          </w:p>
        </w:tc>
      </w:tr>
      <w:tr w:rsidR="0002441C" w14:paraId="521B4439"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65C8596B" w14:textId="77777777" w:rsidR="0002441C" w:rsidRDefault="00000000">
            <w:pPr>
              <w:widowControl/>
              <w:spacing w:line="276" w:lineRule="auto"/>
              <w:rPr>
                <w:rFonts w:ascii="Calibri" w:eastAsia="Calibri" w:hAnsi="Calibri" w:cs="Calibri"/>
                <w:b/>
                <w:bCs/>
                <w:sz w:val="20"/>
                <w:szCs w:val="20"/>
              </w:rPr>
            </w:pPr>
            <w:r>
              <w:rPr>
                <w:rFonts w:ascii="Calibri" w:eastAsia="Calibri" w:hAnsi="Calibri" w:cs="Calibri"/>
                <w:b/>
                <w:bCs/>
                <w:color w:val="0070C0"/>
              </w:rPr>
              <w:t>The board noted the Allergy Policy (HJS) for information.</w:t>
            </w:r>
          </w:p>
        </w:tc>
      </w:tr>
    </w:tbl>
    <w:p w14:paraId="7B151D30"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7"/>
        <w:tblW w:w="10705" w:type="dxa"/>
        <w:tblInd w:w="-79" w:type="dxa"/>
        <w:tblLayout w:type="fixed"/>
        <w:tblLook w:val="0600" w:firstRow="0" w:lastRow="0" w:firstColumn="0" w:lastColumn="0" w:noHBand="1" w:noVBand="1"/>
      </w:tblPr>
      <w:tblGrid>
        <w:gridCol w:w="1079"/>
        <w:gridCol w:w="9626"/>
      </w:tblGrid>
      <w:tr w:rsidR="0002441C" w14:paraId="50A382FB"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740DBC83"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8.1</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E05D404"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Safeguarding - Update from Safeguarding Governors</w:t>
            </w:r>
          </w:p>
        </w:tc>
      </w:tr>
      <w:tr w:rsidR="0002441C" w14:paraId="001D1CB5"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2BE4B5BF"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02441C" w14:paraId="5BAB1D7E"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77E307B2"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BM reported that the lead safeguarding governors were coordinating their meetings with the safeguarding lead and aligning them with CST visits to streamline the process. Their work would be modelled on the CST assessment document. He confirmed there were no major safeguarding concerns arising from that assessment and that most previously flagged issues, primarily website-related, had been resolved. The sole outstanding concern remained the incompatibility of the Think Family app with the school’s IT system. GF clarified that while the school mitigates this gap through alternative means, the app’s delayed or inconsistent updates pose a potential risk.</w:t>
            </w:r>
          </w:p>
        </w:tc>
      </w:tr>
      <w:tr w:rsidR="0002441C" w14:paraId="1D7D7DB5" w14:textId="77777777">
        <w:trPr>
          <w:trHeight w:val="346"/>
        </w:trPr>
        <w:tc>
          <w:tcPr>
            <w:tcW w:w="10705" w:type="dxa"/>
            <w:gridSpan w:val="2"/>
            <w:tcBorders>
              <w:left w:val="single" w:sz="8" w:space="0" w:color="000000"/>
              <w:bottom w:val="single" w:sz="8" w:space="0" w:color="000000"/>
              <w:right w:val="single" w:sz="8" w:space="0" w:color="000000"/>
            </w:tcBorders>
            <w:vAlign w:val="center"/>
          </w:tcPr>
          <w:p w14:paraId="4E974D4E"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BM confirmed that while an internal review of the Single Central Record (SCR) had been completed and was satisfactory, a direct review by the governors had not yet been conducted. Early in Term 4 a thorough review of the SCR and training records, with a specific focus on Prevent training, will be undertaken. The review would involve BM and at least one other governor.</w:t>
            </w:r>
          </w:p>
        </w:tc>
      </w:tr>
    </w:tbl>
    <w:p w14:paraId="724C5075" w14:textId="77777777" w:rsidR="0002441C" w:rsidRDefault="0002441C">
      <w:pPr>
        <w:pBdr>
          <w:top w:val="nil"/>
          <w:left w:val="nil"/>
          <w:bottom w:val="nil"/>
          <w:right w:val="nil"/>
          <w:between w:val="nil"/>
        </w:pBdr>
        <w:spacing w:line="276" w:lineRule="auto"/>
        <w:rPr>
          <w:rFonts w:ascii="Calibri" w:eastAsia="Calibri" w:hAnsi="Calibri" w:cs="Calibri"/>
          <w:color w:val="000000"/>
        </w:rPr>
      </w:pPr>
    </w:p>
    <w:tbl>
      <w:tblPr>
        <w:tblStyle w:val="aff8"/>
        <w:tblW w:w="10632" w:type="dxa"/>
        <w:tblInd w:w="-10" w:type="dxa"/>
        <w:tblLayout w:type="fixed"/>
        <w:tblLook w:val="0600" w:firstRow="0" w:lastRow="0" w:firstColumn="0" w:lastColumn="0" w:noHBand="1" w:noVBand="1"/>
      </w:tblPr>
      <w:tblGrid>
        <w:gridCol w:w="9781"/>
        <w:gridCol w:w="851"/>
      </w:tblGrid>
      <w:tr w:rsidR="0002441C" w14:paraId="417014AD" w14:textId="77777777">
        <w:trPr>
          <w:trHeight w:val="346"/>
        </w:trPr>
        <w:tc>
          <w:tcPr>
            <w:tcW w:w="10632" w:type="dxa"/>
            <w:gridSpan w:val="2"/>
            <w:tcBorders>
              <w:left w:val="single" w:sz="8" w:space="0" w:color="000000"/>
              <w:bottom w:val="single" w:sz="8" w:space="0" w:color="000000"/>
              <w:right w:val="single" w:sz="8" w:space="0" w:color="000000"/>
            </w:tcBorders>
            <w:vAlign w:val="center"/>
          </w:tcPr>
          <w:p w14:paraId="74B7922F" w14:textId="77777777" w:rsidR="0002441C" w:rsidRDefault="00000000">
            <w:pPr>
              <w:pStyle w:val="Heading3"/>
              <w:rPr>
                <w:rFonts w:ascii="Calibri" w:eastAsia="Calibri" w:hAnsi="Calibri" w:cs="Calibri"/>
                <w:sz w:val="20"/>
                <w:szCs w:val="20"/>
              </w:rPr>
            </w:pPr>
            <w:r>
              <w:rPr>
                <w:rFonts w:ascii="Calibri" w:eastAsia="Calibri" w:hAnsi="Calibri" w:cs="Calibri"/>
                <w:sz w:val="24"/>
                <w:szCs w:val="24"/>
              </w:rPr>
              <w:t>ACTIONS</w:t>
            </w:r>
          </w:p>
        </w:tc>
      </w:tr>
      <w:tr w:rsidR="0002441C" w14:paraId="5F660641" w14:textId="77777777">
        <w:trPr>
          <w:trHeight w:val="200"/>
        </w:trPr>
        <w:tc>
          <w:tcPr>
            <w:tcW w:w="9781" w:type="dxa"/>
            <w:tcBorders>
              <w:left w:val="single" w:sz="8" w:space="0" w:color="000000"/>
              <w:bottom w:val="single" w:sz="8" w:space="0" w:color="000000"/>
              <w:right w:val="single" w:sz="8" w:space="0" w:color="000000"/>
            </w:tcBorders>
            <w:vAlign w:val="center"/>
          </w:tcPr>
          <w:p w14:paraId="03D61794" w14:textId="77777777" w:rsidR="0002441C" w:rsidRDefault="00000000">
            <w:pPr>
              <w:pBdr>
                <w:top w:val="nil"/>
                <w:left w:val="nil"/>
                <w:bottom w:val="nil"/>
                <w:right w:val="nil"/>
                <w:between w:val="nil"/>
              </w:pBdr>
              <w:spacing w:line="276" w:lineRule="auto"/>
              <w:rPr>
                <w:rFonts w:ascii="Calibri" w:eastAsia="Calibri" w:hAnsi="Calibri" w:cs="Calibri"/>
                <w:b/>
                <w:bCs/>
                <w:color w:val="EE0000"/>
                <w:sz w:val="20"/>
                <w:szCs w:val="20"/>
              </w:rPr>
            </w:pPr>
            <w:r>
              <w:rPr>
                <w:rFonts w:ascii="Calibri" w:eastAsia="Calibri" w:hAnsi="Calibri" w:cs="Calibri"/>
                <w:b/>
                <w:bCs/>
                <w:color w:val="EE0000"/>
              </w:rPr>
              <w:t>Conduct a review of the (SCR) and training records, with a specific focus on Prevent. Term 4</w:t>
            </w:r>
          </w:p>
        </w:tc>
        <w:tc>
          <w:tcPr>
            <w:tcW w:w="851" w:type="dxa"/>
            <w:tcBorders>
              <w:left w:val="single" w:sz="8" w:space="0" w:color="000000"/>
              <w:bottom w:val="single" w:sz="8" w:space="0" w:color="000000"/>
              <w:right w:val="single" w:sz="8" w:space="0" w:color="000000"/>
            </w:tcBorders>
            <w:vAlign w:val="center"/>
          </w:tcPr>
          <w:p w14:paraId="47533D5D" w14:textId="77777777" w:rsidR="0002441C" w:rsidRDefault="00000000">
            <w:pPr>
              <w:pBdr>
                <w:top w:val="nil"/>
                <w:left w:val="nil"/>
                <w:bottom w:val="nil"/>
                <w:right w:val="nil"/>
                <w:between w:val="nil"/>
              </w:pBdr>
              <w:spacing w:line="276" w:lineRule="auto"/>
              <w:rPr>
                <w:rFonts w:ascii="Calibri" w:eastAsia="Calibri" w:hAnsi="Calibri" w:cs="Calibri"/>
                <w:b/>
                <w:bCs/>
                <w:color w:val="EE0000"/>
                <w:sz w:val="20"/>
                <w:szCs w:val="20"/>
              </w:rPr>
            </w:pPr>
            <w:r>
              <w:rPr>
                <w:rFonts w:ascii="Calibri" w:eastAsia="Calibri" w:hAnsi="Calibri" w:cs="Calibri"/>
                <w:b/>
                <w:bCs/>
                <w:color w:val="EE0000"/>
              </w:rPr>
              <w:t>BM</w:t>
            </w:r>
          </w:p>
        </w:tc>
      </w:tr>
    </w:tbl>
    <w:p w14:paraId="680AD3E9"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9"/>
        <w:tblW w:w="10705" w:type="dxa"/>
        <w:tblInd w:w="-79" w:type="dxa"/>
        <w:tblLayout w:type="fixed"/>
        <w:tblLook w:val="0600" w:firstRow="0" w:lastRow="0" w:firstColumn="0" w:lastColumn="0" w:noHBand="1" w:noVBand="1"/>
      </w:tblPr>
      <w:tblGrid>
        <w:gridCol w:w="1080"/>
        <w:gridCol w:w="2533"/>
        <w:gridCol w:w="6095"/>
        <w:gridCol w:w="997"/>
      </w:tblGrid>
      <w:tr w:rsidR="0002441C" w14:paraId="73CA2E00"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02708BDB"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8.2</w:t>
            </w:r>
          </w:p>
        </w:tc>
        <w:tc>
          <w:tcPr>
            <w:tcW w:w="9625" w:type="dxa"/>
            <w:gridSpan w:val="3"/>
            <w:tcBorders>
              <w:top w:val="single" w:sz="8" w:space="0" w:color="000000"/>
              <w:left w:val="single" w:sz="8" w:space="0" w:color="000000"/>
              <w:bottom w:val="single" w:sz="8" w:space="0" w:color="000000"/>
              <w:right w:val="single" w:sz="8" w:space="0" w:color="000000"/>
            </w:tcBorders>
            <w:shd w:val="clear" w:color="auto" w:fill="CFE2F3"/>
            <w:vAlign w:val="center"/>
          </w:tcPr>
          <w:p w14:paraId="32B20DDA"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 xml:space="preserve">Safeguarding - Report from safeguarding named governors      </w:t>
            </w:r>
          </w:p>
        </w:tc>
      </w:tr>
      <w:tr w:rsidR="0002441C" w14:paraId="59B8DAB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E53A39F"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DISCUSSION</w:t>
            </w:r>
          </w:p>
        </w:tc>
      </w:tr>
      <w:tr w:rsidR="0002441C" w14:paraId="7D5D223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23AB4AB1"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LW, supported by BM and EP-L, presented a report from the safeguarding named governors summarising their engagement with the Designated Safeguarding Leads (DSLs). The report noted that the safeguarding framework felt robust and covered challenges faced by DSLs, the accessibility of CST supervision, and contingency planning for staff absences, which were deemed to be robust and aligned with Trust procedures.</w:t>
            </w:r>
          </w:p>
        </w:tc>
      </w:tr>
      <w:tr w:rsidR="0002441C" w14:paraId="2991D9B8"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78F6A7D7"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lastRenderedPageBreak/>
              <w:t>Governors highlighted the importance of triangulating paperwork with on-the-ground observations, confirming that all documentation had been reviewed. Governors requested that the limited supervision slots offered by the CST be explicitly noted in communications with the Trust.</w:t>
            </w:r>
          </w:p>
        </w:tc>
      </w:tr>
      <w:tr w:rsidR="0002441C" w14:paraId="2DF046C5"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5B5A3000"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Governors discussed the robustness of the safeguarding arrangements. It was suggested that this robust governance model should be applied to Special Educational Needs and Disabilities (SEND) to ensure sufficient contingency and shared responsibility. HG offered to support any new governor recruited to assist with SEND responsibilities. EP-L suggested coordinating with AK-H to discuss these areas further.</w:t>
            </w:r>
          </w:p>
        </w:tc>
      </w:tr>
      <w:tr w:rsidR="0002441C" w14:paraId="5E8ACC7C" w14:textId="77777777">
        <w:trPr>
          <w:trHeight w:val="400"/>
        </w:trPr>
        <w:tc>
          <w:tcPr>
            <w:tcW w:w="3613" w:type="dxa"/>
            <w:gridSpan w:val="2"/>
            <w:tcBorders>
              <w:left w:val="single" w:sz="8" w:space="0" w:color="000000"/>
              <w:bottom w:val="single" w:sz="8" w:space="0" w:color="000000"/>
              <w:right w:val="single" w:sz="8" w:space="0" w:color="000000"/>
            </w:tcBorders>
            <w:vAlign w:val="center"/>
          </w:tcPr>
          <w:p w14:paraId="75D7B414"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A query was raised regarding the </w:t>
            </w:r>
            <w:proofErr w:type="gramStart"/>
            <w:r>
              <w:rPr>
                <w:rFonts w:ascii="Calibri" w:eastAsia="Calibri" w:hAnsi="Calibri" w:cs="Calibri"/>
              </w:rPr>
              <w:t>particular challenges</w:t>
            </w:r>
            <w:proofErr w:type="gramEnd"/>
            <w:r>
              <w:rPr>
                <w:rFonts w:ascii="Calibri" w:eastAsia="Calibri" w:hAnsi="Calibri" w:cs="Calibri"/>
              </w:rPr>
              <w:t xml:space="preserve"> faced by the Designated Safeguarding Leads (DSLs) across both school sites.</w:t>
            </w:r>
          </w:p>
        </w:tc>
        <w:tc>
          <w:tcPr>
            <w:tcW w:w="7092" w:type="dxa"/>
            <w:gridSpan w:val="2"/>
            <w:tcBorders>
              <w:left w:val="single" w:sz="8" w:space="0" w:color="000000"/>
              <w:bottom w:val="single" w:sz="8" w:space="0" w:color="000000"/>
              <w:right w:val="single" w:sz="8" w:space="0" w:color="000000"/>
            </w:tcBorders>
            <w:vAlign w:val="center"/>
          </w:tcPr>
          <w:p w14:paraId="6F244C2A"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explained that while information transfer is generally effective, a key frustration is the lack of integration between the two separate CPOMS (Child Protection Online Management System) accounts. This is due to the schools having separate DfE numbers and means that data must be entered twice for families with siblings in both schools.</w:t>
            </w:r>
          </w:p>
        </w:tc>
      </w:tr>
      <w:tr w:rsidR="0002441C" w14:paraId="4CEF91CD" w14:textId="77777777">
        <w:trPr>
          <w:trHeight w:val="400"/>
        </w:trPr>
        <w:tc>
          <w:tcPr>
            <w:tcW w:w="3613" w:type="dxa"/>
            <w:gridSpan w:val="2"/>
            <w:tcBorders>
              <w:left w:val="single" w:sz="8" w:space="0" w:color="000000"/>
              <w:bottom w:val="single" w:sz="8" w:space="0" w:color="000000"/>
              <w:right w:val="single" w:sz="8" w:space="0" w:color="000000"/>
            </w:tcBorders>
            <w:vAlign w:val="center"/>
          </w:tcPr>
          <w:p w14:paraId="0DD39A2D"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 xml:space="preserve">A question was asked about the accessibility and utility of the supervision </w:t>
            </w:r>
            <w:proofErr w:type="gramStart"/>
            <w:r>
              <w:rPr>
                <w:rFonts w:ascii="Calibri" w:eastAsia="Calibri" w:hAnsi="Calibri" w:cs="Calibri"/>
              </w:rPr>
              <w:t>offer</w:t>
            </w:r>
            <w:proofErr w:type="gramEnd"/>
            <w:r>
              <w:rPr>
                <w:rFonts w:ascii="Calibri" w:eastAsia="Calibri" w:hAnsi="Calibri" w:cs="Calibri"/>
              </w:rPr>
              <w:t xml:space="preserve"> provided by the Central Safeguarding Team (CST).</w:t>
            </w:r>
          </w:p>
        </w:tc>
        <w:tc>
          <w:tcPr>
            <w:tcW w:w="7092" w:type="dxa"/>
            <w:gridSpan w:val="2"/>
            <w:tcBorders>
              <w:left w:val="single" w:sz="8" w:space="0" w:color="000000"/>
              <w:bottom w:val="single" w:sz="8" w:space="0" w:color="000000"/>
              <w:right w:val="single" w:sz="8" w:space="0" w:color="000000"/>
            </w:tcBorders>
            <w:vAlign w:val="center"/>
          </w:tcPr>
          <w:p w14:paraId="09CE5DC2"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LW reported that the DSLs find the supervision offer useful but limited, with only three slots available per long term for the safeguarding and inclusion teams. This was considered insufficient to meet the schools' needs.</w:t>
            </w:r>
          </w:p>
        </w:tc>
      </w:tr>
      <w:tr w:rsidR="0002441C" w14:paraId="3EF98E12" w14:textId="77777777">
        <w:trPr>
          <w:trHeight w:val="400"/>
        </w:trPr>
        <w:tc>
          <w:tcPr>
            <w:tcW w:w="3613" w:type="dxa"/>
            <w:gridSpan w:val="2"/>
            <w:tcBorders>
              <w:left w:val="single" w:sz="8" w:space="0" w:color="000000"/>
              <w:bottom w:val="single" w:sz="8" w:space="0" w:color="000000"/>
              <w:right w:val="single" w:sz="8" w:space="0" w:color="000000"/>
            </w:tcBorders>
            <w:vAlign w:val="center"/>
          </w:tcPr>
          <w:p w14:paraId="1DB93367"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A query was raised as to whether the separation of CPOMS accounts meant a pupil's record had to be started again upon transfer from the infant to the junior school.</w:t>
            </w:r>
          </w:p>
        </w:tc>
        <w:tc>
          <w:tcPr>
            <w:tcW w:w="7092" w:type="dxa"/>
            <w:gridSpan w:val="2"/>
            <w:tcBorders>
              <w:left w:val="single" w:sz="8" w:space="0" w:color="000000"/>
              <w:bottom w:val="single" w:sz="8" w:space="0" w:color="000000"/>
              <w:right w:val="single" w:sz="8" w:space="0" w:color="000000"/>
            </w:tcBorders>
            <w:vAlign w:val="center"/>
          </w:tcPr>
          <w:p w14:paraId="64F5A64C"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rPr>
              <w:t>GF clarified that a standard transfer process exists for pupils moving between schools. The primary issue caused by the separate accounts is the inability to link the records of siblings who are concurrently attending both schools.</w:t>
            </w:r>
          </w:p>
        </w:tc>
      </w:tr>
      <w:tr w:rsidR="0002441C" w14:paraId="61246B57" w14:textId="77777777">
        <w:trPr>
          <w:trHeight w:val="346"/>
        </w:trPr>
        <w:tc>
          <w:tcPr>
            <w:tcW w:w="10705" w:type="dxa"/>
            <w:gridSpan w:val="4"/>
            <w:tcBorders>
              <w:left w:val="single" w:sz="8" w:space="0" w:color="000000"/>
              <w:bottom w:val="single" w:sz="8" w:space="0" w:color="000000"/>
              <w:right w:val="single" w:sz="8" w:space="0" w:color="000000"/>
            </w:tcBorders>
            <w:vAlign w:val="center"/>
          </w:tcPr>
          <w:p w14:paraId="06CC27ED"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02441C" w14:paraId="4DEFA832" w14:textId="77777777">
        <w:trPr>
          <w:trHeight w:val="200"/>
        </w:trPr>
        <w:tc>
          <w:tcPr>
            <w:tcW w:w="9708" w:type="dxa"/>
            <w:gridSpan w:val="3"/>
            <w:tcBorders>
              <w:left w:val="single" w:sz="8" w:space="0" w:color="000000"/>
              <w:bottom w:val="single" w:sz="8" w:space="0" w:color="000000"/>
              <w:right w:val="single" w:sz="8" w:space="0" w:color="000000"/>
            </w:tcBorders>
            <w:vAlign w:val="center"/>
          </w:tcPr>
          <w:p w14:paraId="4D36C3F1"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Contact CST highlighting the limitation of three CST supervision slots per large term.</w:t>
            </w:r>
          </w:p>
        </w:tc>
        <w:tc>
          <w:tcPr>
            <w:tcW w:w="997" w:type="dxa"/>
            <w:tcBorders>
              <w:left w:val="single" w:sz="8" w:space="0" w:color="000000"/>
              <w:bottom w:val="single" w:sz="8" w:space="0" w:color="000000"/>
              <w:right w:val="single" w:sz="8" w:space="0" w:color="000000"/>
            </w:tcBorders>
            <w:vAlign w:val="center"/>
          </w:tcPr>
          <w:p w14:paraId="4907DE80"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LW</w:t>
            </w:r>
          </w:p>
        </w:tc>
      </w:tr>
      <w:tr w:rsidR="0002441C" w14:paraId="5352EABF" w14:textId="77777777">
        <w:trPr>
          <w:trHeight w:val="200"/>
        </w:trPr>
        <w:tc>
          <w:tcPr>
            <w:tcW w:w="9708" w:type="dxa"/>
            <w:gridSpan w:val="3"/>
            <w:tcBorders>
              <w:left w:val="single" w:sz="8" w:space="0" w:color="000000"/>
              <w:bottom w:val="single" w:sz="8" w:space="0" w:color="000000"/>
              <w:right w:val="single" w:sz="8" w:space="0" w:color="000000"/>
            </w:tcBorders>
            <w:vAlign w:val="center"/>
          </w:tcPr>
          <w:p w14:paraId="7E145BE1"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Coordinate with AK-H to discuss safeguarding and SEND governance, including the support offered by HG for new governors.</w:t>
            </w:r>
          </w:p>
        </w:tc>
        <w:tc>
          <w:tcPr>
            <w:tcW w:w="997" w:type="dxa"/>
            <w:tcBorders>
              <w:left w:val="single" w:sz="8" w:space="0" w:color="000000"/>
              <w:bottom w:val="single" w:sz="8" w:space="0" w:color="000000"/>
              <w:right w:val="single" w:sz="8" w:space="0" w:color="000000"/>
            </w:tcBorders>
            <w:vAlign w:val="center"/>
          </w:tcPr>
          <w:p w14:paraId="6E15BF25"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EP-L</w:t>
            </w:r>
          </w:p>
        </w:tc>
      </w:tr>
    </w:tbl>
    <w:p w14:paraId="2F04886A"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a"/>
        <w:tblW w:w="10705" w:type="dxa"/>
        <w:tblInd w:w="-79" w:type="dxa"/>
        <w:tblLayout w:type="fixed"/>
        <w:tblLook w:val="0600" w:firstRow="0" w:lastRow="0" w:firstColumn="0" w:lastColumn="0" w:noHBand="1" w:noVBand="1"/>
      </w:tblPr>
      <w:tblGrid>
        <w:gridCol w:w="1080"/>
        <w:gridCol w:w="8487"/>
        <w:gridCol w:w="1138"/>
      </w:tblGrid>
      <w:tr w:rsidR="0002441C" w14:paraId="4ECE176B" w14:textId="77777777">
        <w:trPr>
          <w:trHeight w:val="432"/>
        </w:trPr>
        <w:tc>
          <w:tcPr>
            <w:tcW w:w="1080"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BF21AFB"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9.0</w:t>
            </w:r>
          </w:p>
        </w:tc>
        <w:tc>
          <w:tcPr>
            <w:tcW w:w="9625"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7201EC2B"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Celebrating successes - Pupil and parent voice (Parent survey)</w:t>
            </w:r>
          </w:p>
        </w:tc>
      </w:tr>
      <w:tr w:rsidR="0002441C" w14:paraId="70BAA13B"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3654FFE" w14:textId="77777777" w:rsidR="0002441C" w:rsidRDefault="00000000">
            <w:pPr>
              <w:widowControl/>
              <w:pBdr>
                <w:top w:val="nil"/>
                <w:left w:val="nil"/>
                <w:bottom w:val="nil"/>
                <w:right w:val="nil"/>
                <w:between w:val="nil"/>
              </w:pBdr>
              <w:spacing w:line="276" w:lineRule="auto"/>
              <w:rPr>
                <w:rFonts w:ascii="Calibri" w:eastAsia="Calibri" w:hAnsi="Calibri" w:cs="Calibri"/>
                <w:color w:val="000000"/>
              </w:rPr>
            </w:pPr>
            <w:r>
              <w:rPr>
                <w:rFonts w:ascii="Calibri" w:eastAsia="Calibri" w:hAnsi="Calibri" w:cs="Calibri"/>
                <w:color w:val="000000"/>
              </w:rPr>
              <w:t xml:space="preserve">GF presented several successes relating to pupil and parent voice, and community engagement. She highlighted positive outcomes from a peer review and a writing review and noted the 'Pins' project for neurodiversity had </w:t>
            </w:r>
            <w:r>
              <w:rPr>
                <w:rFonts w:ascii="Roboto" w:eastAsia="Roboto" w:hAnsi="Roboto" w:cs="Roboto"/>
                <w:color w:val="444746"/>
                <w:sz w:val="21"/>
                <w:szCs w:val="21"/>
              </w:rPr>
              <w:t xml:space="preserve">identified positive </w:t>
            </w:r>
            <w:proofErr w:type="gramStart"/>
            <w:r>
              <w:rPr>
                <w:rFonts w:ascii="Roboto" w:eastAsia="Roboto" w:hAnsi="Roboto" w:cs="Roboto"/>
                <w:color w:val="444746"/>
                <w:sz w:val="21"/>
                <w:szCs w:val="21"/>
              </w:rPr>
              <w:t xml:space="preserve">practice </w:t>
            </w:r>
            <w:r>
              <w:rPr>
                <w:rFonts w:ascii="Calibri" w:eastAsia="Calibri" w:hAnsi="Calibri" w:cs="Calibri"/>
                <w:color w:val="000000"/>
              </w:rPr>
              <w:t xml:space="preserve"> with</w:t>
            </w:r>
            <w:proofErr w:type="gramEnd"/>
            <w:r>
              <w:rPr>
                <w:rFonts w:ascii="Calibri" w:eastAsia="Calibri" w:hAnsi="Calibri" w:cs="Calibri"/>
                <w:color w:val="000000"/>
              </w:rPr>
              <w:t xml:space="preserve"> co-production with parents as standard practice. GF reported that despite a demanding workload, staff continued to deliver activities such as class visits and special assemblies. In response to this update, HP suggested that the governors' appreciation for these efforts should be formally communicated to the staff.</w:t>
            </w:r>
          </w:p>
        </w:tc>
      </w:tr>
      <w:tr w:rsidR="0002441C" w14:paraId="191C11B5"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42C84C18" w14:textId="77777777" w:rsidR="0002441C" w:rsidRDefault="00000000">
            <w:pPr>
              <w:pStyle w:val="Heading3"/>
              <w:rPr>
                <w:rFonts w:ascii="Calibri" w:eastAsia="Calibri" w:hAnsi="Calibri" w:cs="Calibri"/>
                <w:sz w:val="24"/>
                <w:szCs w:val="24"/>
              </w:rPr>
            </w:pPr>
            <w:r>
              <w:rPr>
                <w:rFonts w:ascii="Calibri" w:eastAsia="Calibri" w:hAnsi="Calibri" w:cs="Calibri"/>
                <w:sz w:val="24"/>
                <w:szCs w:val="24"/>
              </w:rPr>
              <w:t>ACTIONS</w:t>
            </w:r>
          </w:p>
        </w:tc>
      </w:tr>
      <w:tr w:rsidR="0002441C" w14:paraId="7D7B64E8" w14:textId="77777777">
        <w:trPr>
          <w:trHeight w:val="200"/>
        </w:trPr>
        <w:tc>
          <w:tcPr>
            <w:tcW w:w="9567" w:type="dxa"/>
            <w:gridSpan w:val="2"/>
            <w:tcBorders>
              <w:left w:val="single" w:sz="8" w:space="0" w:color="000000"/>
              <w:bottom w:val="single" w:sz="8" w:space="0" w:color="000000"/>
              <w:right w:val="single" w:sz="8" w:space="0" w:color="000000"/>
            </w:tcBorders>
            <w:vAlign w:val="center"/>
          </w:tcPr>
          <w:p w14:paraId="64E01030"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Convey the governors' appreciation to the staff for their work and achievements.</w:t>
            </w:r>
          </w:p>
        </w:tc>
        <w:tc>
          <w:tcPr>
            <w:tcW w:w="1138" w:type="dxa"/>
            <w:tcBorders>
              <w:left w:val="single" w:sz="8" w:space="0" w:color="000000"/>
              <w:bottom w:val="single" w:sz="8" w:space="0" w:color="000000"/>
              <w:right w:val="single" w:sz="8" w:space="0" w:color="000000"/>
            </w:tcBorders>
            <w:vAlign w:val="center"/>
          </w:tcPr>
          <w:p w14:paraId="02D9ED90" w14:textId="77777777" w:rsidR="0002441C" w:rsidRDefault="00000000">
            <w:pPr>
              <w:widowControl/>
              <w:pBdr>
                <w:top w:val="nil"/>
                <w:left w:val="nil"/>
                <w:bottom w:val="nil"/>
                <w:right w:val="nil"/>
                <w:between w:val="nil"/>
              </w:pBdr>
              <w:spacing w:line="276" w:lineRule="auto"/>
              <w:rPr>
                <w:rFonts w:ascii="Calibri" w:eastAsia="Calibri" w:hAnsi="Calibri" w:cs="Calibri"/>
                <w:b/>
                <w:bCs/>
                <w:color w:val="EE0000"/>
              </w:rPr>
            </w:pPr>
            <w:r>
              <w:rPr>
                <w:rFonts w:ascii="Calibri" w:eastAsia="Calibri" w:hAnsi="Calibri" w:cs="Calibri"/>
                <w:b/>
                <w:bCs/>
                <w:color w:val="EE0000"/>
              </w:rPr>
              <w:t>GF</w:t>
            </w:r>
          </w:p>
        </w:tc>
      </w:tr>
    </w:tbl>
    <w:p w14:paraId="01DB0FF3"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b"/>
        <w:tblW w:w="10705" w:type="dxa"/>
        <w:tblInd w:w="-79" w:type="dxa"/>
        <w:tblLayout w:type="fixed"/>
        <w:tblLook w:val="0600" w:firstRow="0" w:lastRow="0" w:firstColumn="0" w:lastColumn="0" w:noHBand="1" w:noVBand="1"/>
      </w:tblPr>
      <w:tblGrid>
        <w:gridCol w:w="1079"/>
        <w:gridCol w:w="8629"/>
        <w:gridCol w:w="997"/>
      </w:tblGrid>
      <w:tr w:rsidR="0002441C" w14:paraId="4F3EF258"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4BFF8477" w14:textId="77777777" w:rsidR="0002441C" w:rsidRDefault="00000000">
            <w:pPr>
              <w:keepNext/>
              <w:keepLines/>
              <w:rPr>
                <w:rFonts w:ascii="Calibri" w:eastAsia="Calibri" w:hAnsi="Calibri" w:cs="Calibri"/>
                <w:b/>
                <w:bCs/>
                <w:color w:val="000000"/>
                <w:sz w:val="20"/>
                <w:szCs w:val="20"/>
              </w:rPr>
            </w:pPr>
            <w:r>
              <w:rPr>
                <w:rFonts w:ascii="Calibri" w:eastAsia="Calibri" w:hAnsi="Calibri" w:cs="Calibri"/>
                <w:b/>
                <w:bCs/>
                <w:color w:val="000000"/>
                <w:sz w:val="28"/>
                <w:szCs w:val="28"/>
              </w:rPr>
              <w:t>10</w:t>
            </w:r>
          </w:p>
        </w:tc>
        <w:tc>
          <w:tcPr>
            <w:tcW w:w="9626" w:type="dxa"/>
            <w:gridSpan w:val="2"/>
            <w:tcBorders>
              <w:top w:val="single" w:sz="8" w:space="0" w:color="000000"/>
              <w:left w:val="single" w:sz="8" w:space="0" w:color="000000"/>
              <w:bottom w:val="single" w:sz="8" w:space="0" w:color="000000"/>
              <w:right w:val="single" w:sz="8" w:space="0" w:color="000000"/>
            </w:tcBorders>
            <w:shd w:val="clear" w:color="auto" w:fill="CFE2F3"/>
            <w:vAlign w:val="center"/>
          </w:tcPr>
          <w:p w14:paraId="2489A300" w14:textId="77777777" w:rsidR="0002441C" w:rsidRDefault="00000000">
            <w:pPr>
              <w:keepNext/>
              <w:keepLines/>
              <w:rPr>
                <w:rFonts w:ascii="Calibri" w:eastAsia="Calibri" w:hAnsi="Calibri" w:cs="Calibri"/>
                <w:b/>
                <w:bCs/>
                <w:color w:val="000000"/>
                <w:sz w:val="20"/>
                <w:szCs w:val="20"/>
              </w:rPr>
            </w:pPr>
            <w:r>
              <w:rPr>
                <w:rFonts w:ascii="Calibri" w:eastAsia="Calibri" w:hAnsi="Calibri" w:cs="Calibri"/>
                <w:b/>
                <w:bCs/>
                <w:color w:val="000000"/>
                <w:sz w:val="28"/>
                <w:szCs w:val="28"/>
              </w:rPr>
              <w:t>Additional Items (Any items to be agreed ahead of the meeting with the Chair.)</w:t>
            </w:r>
          </w:p>
        </w:tc>
      </w:tr>
      <w:tr w:rsidR="0002441C" w14:paraId="0F3E2730"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3CE3EE6A" w14:textId="77777777" w:rsidR="0002441C" w:rsidRDefault="00000000">
            <w:pPr>
              <w:widowControl/>
              <w:spacing w:line="276" w:lineRule="auto"/>
              <w:rPr>
                <w:rFonts w:ascii="Calibri" w:eastAsia="Calibri" w:hAnsi="Calibri" w:cs="Calibri"/>
                <w:sz w:val="20"/>
                <w:szCs w:val="20"/>
              </w:rPr>
            </w:pPr>
            <w:r>
              <w:rPr>
                <w:rFonts w:ascii="Calibri" w:eastAsia="Calibri" w:hAnsi="Calibri" w:cs="Calibri"/>
              </w:rPr>
              <w:t xml:space="preserve">AS proposed sharing the date of a session with Jack Lacey, which was for a </w:t>
            </w:r>
            <w:proofErr w:type="gramStart"/>
            <w:r>
              <w:rPr>
                <w:rFonts w:ascii="Calibri" w:eastAsia="Calibri" w:hAnsi="Calibri" w:cs="Calibri"/>
              </w:rPr>
              <w:t>more deep</w:t>
            </w:r>
            <w:proofErr w:type="gramEnd"/>
            <w:r>
              <w:rPr>
                <w:rFonts w:ascii="Calibri" w:eastAsia="Calibri" w:hAnsi="Calibri" w:cs="Calibri"/>
              </w:rPr>
              <w:t xml:space="preserve"> dive into OFSTED’s new framework, following his first inspection. It was clarified that the Inclusion survey is for parents only, and separate pupil voice activities on behaviour and curriculum will occur at the end of the current term or </w:t>
            </w:r>
            <w:r>
              <w:rPr>
                <w:rFonts w:ascii="Calibri" w:eastAsia="Calibri" w:hAnsi="Calibri" w:cs="Calibri"/>
              </w:rPr>
              <w:lastRenderedPageBreak/>
              <w:t>the start of the next. A new meeting format was proposed and agreed upon to improve efficiency. This involves circulating reports a week in advance and having governors submit questions by the weekend before the meeting, allowing for prepared responses and more strategic discussion. It was decided that these questions and answers will be reflected in the minutes.</w:t>
            </w:r>
          </w:p>
        </w:tc>
      </w:tr>
      <w:tr w:rsidR="0002441C" w14:paraId="5741280B" w14:textId="77777777">
        <w:trPr>
          <w:trHeight w:val="346"/>
        </w:trPr>
        <w:tc>
          <w:tcPr>
            <w:tcW w:w="10705" w:type="dxa"/>
            <w:gridSpan w:val="3"/>
            <w:tcBorders>
              <w:left w:val="single" w:sz="8" w:space="0" w:color="000000"/>
              <w:bottom w:val="single" w:sz="8" w:space="0" w:color="000000"/>
              <w:right w:val="single" w:sz="8" w:space="0" w:color="000000"/>
            </w:tcBorders>
            <w:vAlign w:val="center"/>
          </w:tcPr>
          <w:p w14:paraId="5E720546" w14:textId="77777777" w:rsidR="0002441C" w:rsidRDefault="00000000">
            <w:pPr>
              <w:keepNext/>
              <w:keepLines/>
              <w:rPr>
                <w:rFonts w:ascii="Calibri" w:eastAsia="Calibri" w:hAnsi="Calibri" w:cs="Calibri"/>
                <w:b/>
                <w:bCs/>
                <w:color w:val="000000"/>
                <w:sz w:val="20"/>
                <w:szCs w:val="20"/>
              </w:rPr>
            </w:pPr>
            <w:r>
              <w:rPr>
                <w:rFonts w:ascii="Calibri" w:eastAsia="Calibri" w:hAnsi="Calibri" w:cs="Calibri"/>
                <w:b/>
                <w:bCs/>
                <w:color w:val="000000"/>
              </w:rPr>
              <w:lastRenderedPageBreak/>
              <w:t>ACTIONS</w:t>
            </w:r>
          </w:p>
        </w:tc>
      </w:tr>
      <w:tr w:rsidR="0002441C" w14:paraId="54E2FC7D"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79AA111F" w14:textId="77777777" w:rsidR="0002441C"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Share the date of the Ofsted preparation meeting with Jack Lacey with the board in case others can attend.</w:t>
            </w:r>
          </w:p>
        </w:tc>
        <w:tc>
          <w:tcPr>
            <w:tcW w:w="997" w:type="dxa"/>
            <w:tcBorders>
              <w:left w:val="single" w:sz="8" w:space="0" w:color="000000"/>
              <w:bottom w:val="single" w:sz="8" w:space="0" w:color="000000"/>
              <w:right w:val="single" w:sz="8" w:space="0" w:color="000000"/>
            </w:tcBorders>
            <w:vAlign w:val="center"/>
          </w:tcPr>
          <w:p w14:paraId="0C5FDE62" w14:textId="77777777" w:rsidR="0002441C"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AS</w:t>
            </w:r>
          </w:p>
        </w:tc>
      </w:tr>
      <w:tr w:rsidR="0002441C" w14:paraId="1F1B66EE"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22FD2BAB" w14:textId="77777777" w:rsidR="0002441C"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Determine and implement a method for incorporating pre-submitted questions and responses into the meeting minutes.</w:t>
            </w:r>
          </w:p>
        </w:tc>
        <w:tc>
          <w:tcPr>
            <w:tcW w:w="997" w:type="dxa"/>
            <w:tcBorders>
              <w:left w:val="single" w:sz="8" w:space="0" w:color="000000"/>
              <w:bottom w:val="single" w:sz="8" w:space="0" w:color="000000"/>
              <w:right w:val="single" w:sz="8" w:space="0" w:color="000000"/>
            </w:tcBorders>
            <w:vAlign w:val="center"/>
          </w:tcPr>
          <w:p w14:paraId="6580F3F2" w14:textId="77777777" w:rsidR="0002441C"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JaB</w:t>
            </w:r>
          </w:p>
        </w:tc>
      </w:tr>
      <w:tr w:rsidR="0002441C" w14:paraId="4F251166" w14:textId="77777777">
        <w:trPr>
          <w:trHeight w:val="200"/>
        </w:trPr>
        <w:tc>
          <w:tcPr>
            <w:tcW w:w="9708" w:type="dxa"/>
            <w:gridSpan w:val="2"/>
            <w:tcBorders>
              <w:left w:val="single" w:sz="8" w:space="0" w:color="000000"/>
              <w:bottom w:val="single" w:sz="8" w:space="0" w:color="000000"/>
              <w:right w:val="single" w:sz="8" w:space="0" w:color="000000"/>
            </w:tcBorders>
            <w:vAlign w:val="center"/>
          </w:tcPr>
          <w:p w14:paraId="79486E08" w14:textId="77777777" w:rsidR="0002441C"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Share feedback from pupil voice with LGB once available</w:t>
            </w:r>
          </w:p>
        </w:tc>
        <w:tc>
          <w:tcPr>
            <w:tcW w:w="997" w:type="dxa"/>
            <w:tcBorders>
              <w:left w:val="single" w:sz="8" w:space="0" w:color="000000"/>
              <w:bottom w:val="single" w:sz="8" w:space="0" w:color="000000"/>
              <w:right w:val="single" w:sz="8" w:space="0" w:color="000000"/>
            </w:tcBorders>
            <w:vAlign w:val="center"/>
          </w:tcPr>
          <w:p w14:paraId="6AB2243C" w14:textId="77777777" w:rsidR="0002441C" w:rsidRDefault="00000000">
            <w:pPr>
              <w:widowControl/>
              <w:spacing w:line="276" w:lineRule="auto"/>
              <w:rPr>
                <w:rFonts w:ascii="Calibri" w:eastAsia="Calibri" w:hAnsi="Calibri" w:cs="Calibri"/>
                <w:b/>
                <w:bCs/>
                <w:color w:val="EE0000"/>
                <w:sz w:val="20"/>
                <w:szCs w:val="20"/>
              </w:rPr>
            </w:pPr>
            <w:r>
              <w:rPr>
                <w:rFonts w:ascii="Calibri" w:eastAsia="Calibri" w:hAnsi="Calibri" w:cs="Calibri"/>
                <w:b/>
                <w:bCs/>
                <w:color w:val="EE0000"/>
              </w:rPr>
              <w:t>GF</w:t>
            </w:r>
          </w:p>
        </w:tc>
      </w:tr>
    </w:tbl>
    <w:p w14:paraId="5C195CB4" w14:textId="77777777" w:rsidR="0002441C" w:rsidRDefault="0002441C">
      <w:pPr>
        <w:widowControl/>
        <w:pBdr>
          <w:top w:val="nil"/>
          <w:left w:val="nil"/>
          <w:bottom w:val="nil"/>
          <w:right w:val="nil"/>
          <w:between w:val="nil"/>
        </w:pBdr>
        <w:spacing w:line="276" w:lineRule="auto"/>
        <w:rPr>
          <w:rFonts w:ascii="Calibri" w:eastAsia="Calibri" w:hAnsi="Calibri" w:cs="Calibri"/>
          <w:color w:val="000000"/>
        </w:rPr>
      </w:pPr>
    </w:p>
    <w:tbl>
      <w:tblPr>
        <w:tblStyle w:val="affc"/>
        <w:tblW w:w="10705" w:type="dxa"/>
        <w:tblInd w:w="-79" w:type="dxa"/>
        <w:tblLayout w:type="fixed"/>
        <w:tblLook w:val="0600" w:firstRow="0" w:lastRow="0" w:firstColumn="0" w:lastColumn="0" w:noHBand="1" w:noVBand="1"/>
      </w:tblPr>
      <w:tblGrid>
        <w:gridCol w:w="1079"/>
        <w:gridCol w:w="9626"/>
      </w:tblGrid>
      <w:tr w:rsidR="0002441C" w14:paraId="32CF45BF" w14:textId="77777777">
        <w:trPr>
          <w:trHeight w:val="432"/>
        </w:trPr>
        <w:tc>
          <w:tcPr>
            <w:tcW w:w="1079"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54065FBF"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10.0</w:t>
            </w:r>
          </w:p>
        </w:tc>
        <w:tc>
          <w:tcPr>
            <w:tcW w:w="9626" w:type="dxa"/>
            <w:tcBorders>
              <w:top w:val="single" w:sz="8" w:space="0" w:color="000000"/>
              <w:left w:val="single" w:sz="8" w:space="0" w:color="000000"/>
              <w:bottom w:val="single" w:sz="8" w:space="0" w:color="000000"/>
              <w:right w:val="single" w:sz="8" w:space="0" w:color="000000"/>
            </w:tcBorders>
            <w:shd w:val="clear" w:color="auto" w:fill="CFE2F3"/>
            <w:vAlign w:val="center"/>
          </w:tcPr>
          <w:p w14:paraId="139413FB" w14:textId="77777777" w:rsidR="0002441C" w:rsidRDefault="00000000">
            <w:pPr>
              <w:pStyle w:val="Heading2"/>
              <w:rPr>
                <w:rFonts w:ascii="Calibri" w:eastAsia="Calibri" w:hAnsi="Calibri" w:cs="Calibri"/>
                <w:sz w:val="24"/>
                <w:szCs w:val="24"/>
              </w:rPr>
            </w:pPr>
            <w:r>
              <w:rPr>
                <w:rFonts w:ascii="Calibri" w:eastAsia="Calibri" w:hAnsi="Calibri" w:cs="Calibri"/>
                <w:sz w:val="24"/>
                <w:szCs w:val="24"/>
              </w:rPr>
              <w:t>Date of next meeting: Monday 16th March 2026, 6.00 – 8.00pm</w:t>
            </w:r>
          </w:p>
        </w:tc>
      </w:tr>
    </w:tbl>
    <w:p w14:paraId="54B387C1" w14:textId="77777777" w:rsidR="0002441C" w:rsidRDefault="0002441C">
      <w:pPr>
        <w:widowControl/>
        <w:rPr>
          <w:rFonts w:ascii="Calibri" w:eastAsia="Calibri" w:hAnsi="Calibri" w:cs="Calibri"/>
        </w:rPr>
      </w:pPr>
    </w:p>
    <w:tbl>
      <w:tblPr>
        <w:tblStyle w:val="affd"/>
        <w:tblW w:w="10866" w:type="dxa"/>
        <w:tblInd w:w="-244" w:type="dxa"/>
        <w:tblLayout w:type="fixed"/>
        <w:tblLook w:val="0600" w:firstRow="0" w:lastRow="0" w:firstColumn="0" w:lastColumn="0" w:noHBand="1" w:noVBand="1"/>
      </w:tblPr>
      <w:tblGrid>
        <w:gridCol w:w="660"/>
        <w:gridCol w:w="7654"/>
        <w:gridCol w:w="1134"/>
        <w:gridCol w:w="1418"/>
      </w:tblGrid>
      <w:tr w:rsidR="0002441C" w14:paraId="7D09BAF2" w14:textId="77777777">
        <w:trPr>
          <w:trHeight w:val="220"/>
        </w:trPr>
        <w:tc>
          <w:tcPr>
            <w:tcW w:w="660" w:type="dxa"/>
            <w:tcBorders>
              <w:top w:val="single" w:sz="8" w:space="0" w:color="000000"/>
              <w:left w:val="single" w:sz="8" w:space="0" w:color="000000"/>
              <w:bottom w:val="single" w:sz="8" w:space="0" w:color="000000"/>
              <w:right w:val="single" w:sz="8" w:space="0" w:color="000000"/>
            </w:tcBorders>
            <w:shd w:val="clear" w:color="auto" w:fill="B9D9EC"/>
          </w:tcPr>
          <w:p w14:paraId="066BC904" w14:textId="77777777" w:rsidR="0002441C" w:rsidRDefault="0002441C">
            <w:pPr>
              <w:widowControl/>
              <w:pBdr>
                <w:top w:val="nil"/>
                <w:left w:val="nil"/>
                <w:bottom w:val="nil"/>
                <w:right w:val="nil"/>
                <w:between w:val="nil"/>
              </w:pBdr>
              <w:jc w:val="both"/>
              <w:rPr>
                <w:rFonts w:ascii="Calibri" w:eastAsia="Calibri" w:hAnsi="Calibri" w:cs="Calibri"/>
                <w:b/>
                <w:bCs/>
                <w:color w:val="000000"/>
              </w:rPr>
            </w:pPr>
          </w:p>
        </w:tc>
        <w:tc>
          <w:tcPr>
            <w:tcW w:w="8788" w:type="dxa"/>
            <w:gridSpan w:val="2"/>
            <w:tcBorders>
              <w:top w:val="single" w:sz="8" w:space="0" w:color="000000"/>
              <w:left w:val="single" w:sz="8" w:space="0" w:color="000000"/>
              <w:bottom w:val="single" w:sz="8" w:space="0" w:color="000000"/>
              <w:right w:val="single" w:sz="8" w:space="0" w:color="000000"/>
            </w:tcBorders>
            <w:shd w:val="clear" w:color="auto" w:fill="B9D9EC"/>
          </w:tcPr>
          <w:p w14:paraId="700B4005" w14:textId="77777777" w:rsidR="0002441C" w:rsidRDefault="00000000">
            <w:pPr>
              <w:widowControl/>
              <w:pBdr>
                <w:top w:val="nil"/>
                <w:left w:val="nil"/>
                <w:bottom w:val="nil"/>
                <w:right w:val="nil"/>
                <w:between w:val="nil"/>
              </w:pBdr>
              <w:jc w:val="both"/>
              <w:rPr>
                <w:rFonts w:ascii="Calibri" w:eastAsia="Calibri" w:hAnsi="Calibri" w:cs="Calibri"/>
                <w:b/>
                <w:bCs/>
                <w:color w:val="000000"/>
              </w:rPr>
            </w:pPr>
            <w:r>
              <w:rPr>
                <w:rFonts w:ascii="Calibri" w:eastAsia="Calibri" w:hAnsi="Calibri" w:cs="Calibri"/>
                <w:b/>
                <w:bCs/>
                <w:color w:val="000000"/>
              </w:rPr>
              <w:t>Summary of Actions</w:t>
            </w:r>
          </w:p>
        </w:tc>
        <w:tc>
          <w:tcPr>
            <w:tcW w:w="1418" w:type="dxa"/>
            <w:tcBorders>
              <w:top w:val="single" w:sz="8" w:space="0" w:color="000000"/>
              <w:left w:val="single" w:sz="8" w:space="0" w:color="000000"/>
              <w:bottom w:val="single" w:sz="8" w:space="0" w:color="000000"/>
              <w:right w:val="single" w:sz="8" w:space="0" w:color="000000"/>
            </w:tcBorders>
            <w:shd w:val="clear" w:color="auto" w:fill="B9D9EC"/>
          </w:tcPr>
          <w:p w14:paraId="7AA3E80A" w14:textId="77777777" w:rsidR="0002441C" w:rsidRDefault="0002441C">
            <w:pPr>
              <w:widowControl/>
              <w:pBdr>
                <w:top w:val="nil"/>
                <w:left w:val="nil"/>
                <w:bottom w:val="nil"/>
                <w:right w:val="nil"/>
                <w:between w:val="nil"/>
              </w:pBdr>
              <w:jc w:val="both"/>
              <w:rPr>
                <w:rFonts w:ascii="Calibri" w:eastAsia="Calibri" w:hAnsi="Calibri" w:cs="Calibri"/>
                <w:b/>
                <w:bCs/>
                <w:color w:val="000000"/>
              </w:rPr>
            </w:pPr>
          </w:p>
        </w:tc>
      </w:tr>
      <w:tr w:rsidR="0002441C" w14:paraId="4B1DBBA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955C4BB" w14:textId="77777777" w:rsidR="0002441C" w:rsidRDefault="0002441C">
            <w:pPr>
              <w:widowControl/>
              <w:pBdr>
                <w:top w:val="nil"/>
                <w:left w:val="nil"/>
                <w:bottom w:val="nil"/>
                <w:right w:val="nil"/>
                <w:between w:val="nil"/>
              </w:pBdr>
              <w:jc w:val="both"/>
              <w:rPr>
                <w:rFonts w:ascii="Calibri" w:eastAsia="Calibri" w:hAnsi="Calibri" w:cs="Calibri"/>
                <w:b/>
                <w:bCs/>
                <w:color w:val="000000"/>
              </w:rPr>
            </w:pPr>
          </w:p>
        </w:tc>
        <w:tc>
          <w:tcPr>
            <w:tcW w:w="7654" w:type="dxa"/>
            <w:tcBorders>
              <w:top w:val="single" w:sz="8" w:space="0" w:color="000000"/>
              <w:left w:val="single" w:sz="8" w:space="0" w:color="000000"/>
              <w:bottom w:val="single" w:sz="8" w:space="0" w:color="000000"/>
              <w:right w:val="single" w:sz="8" w:space="0" w:color="000000"/>
            </w:tcBorders>
            <w:shd w:val="clear" w:color="auto" w:fill="FFFFFF"/>
          </w:tcPr>
          <w:p w14:paraId="6A692CA6"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b/>
                <w:bCs/>
                <w:color w:val="000000"/>
              </w:rPr>
              <w:t xml:space="preserve">Action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Pr>
          <w:p w14:paraId="5FE2B9BD"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000000"/>
              </w:rPr>
              <w:t>Who</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FC74E9" w14:textId="77777777" w:rsidR="0002441C" w:rsidRDefault="00000000">
            <w:pPr>
              <w:pBdr>
                <w:top w:val="nil"/>
                <w:left w:val="nil"/>
                <w:bottom w:val="nil"/>
                <w:right w:val="nil"/>
                <w:between w:val="nil"/>
              </w:pBdr>
              <w:jc w:val="center"/>
              <w:rPr>
                <w:rFonts w:ascii="Calibri" w:eastAsia="Calibri" w:hAnsi="Calibri" w:cs="Calibri"/>
                <w:b/>
                <w:bCs/>
                <w:color w:val="000000"/>
              </w:rPr>
            </w:pPr>
            <w:r>
              <w:rPr>
                <w:rFonts w:ascii="Calibri" w:eastAsia="Calibri" w:hAnsi="Calibri" w:cs="Calibri"/>
                <w:b/>
                <w:bCs/>
                <w:color w:val="000000"/>
              </w:rPr>
              <w:t>Deadline</w:t>
            </w:r>
          </w:p>
        </w:tc>
      </w:tr>
      <w:tr w:rsidR="0002441C" w14:paraId="402EF5C0"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4EB5BC0E"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FC479E"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Amend minutes from the 9th December 2025 meeting to include the omitted NFL discussion and recirculate the updated minutes to the chairs for sign-off.</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544CC4"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JaB</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11E945"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End T3</w:t>
            </w:r>
          </w:p>
        </w:tc>
      </w:tr>
      <w:tr w:rsidR="0002441C" w14:paraId="2B437B7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4969FFD"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849391"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Ask the Trust about the due diligence undertaken for AI implementation, seek clarification on the AI policy, and request to be kept informed of the AI working group's progress.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1DCF4E"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HP</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A6D4ED"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02441C" w14:paraId="5800FF4A"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6E539C2"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E5AF07"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Review the mobile phone policy.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787A6F"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JuB</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FDB477"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02441C" w14:paraId="7F22D55D"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394E8D5B"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919CE0"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Follow up with MF regarding the outstanding cyber policy action.</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3BF56D"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4304FB"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ASAP</w:t>
            </w:r>
          </w:p>
        </w:tc>
      </w:tr>
      <w:tr w:rsidR="0002441C" w14:paraId="2F7D23B1"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6605C39"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2.2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BEF841"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Submit brief, first-person biographies for the new website, including reasons for becoming a governor.</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6D810"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 xml:space="preserve">All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DBC0B7"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End T3</w:t>
            </w:r>
          </w:p>
        </w:tc>
      </w:tr>
      <w:tr w:rsidR="0002441C" w14:paraId="0D57E42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ECF16C3"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rPr>
              <w:t>3.1</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A93266"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rPr>
              <w:t>Consolidate Ofsted preparation documents and provide a single, pinned link on Governor Hub to the live document on the shared drive.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FF3AC4"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JaB</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7E1E28" w14:textId="77777777" w:rsidR="0002441C" w:rsidRDefault="00000000">
            <w:pPr>
              <w:pBdr>
                <w:top w:val="nil"/>
                <w:left w:val="nil"/>
                <w:bottom w:val="nil"/>
                <w:right w:val="nil"/>
                <w:between w:val="nil"/>
              </w:pBdr>
              <w:jc w:val="center"/>
              <w:rPr>
                <w:rFonts w:ascii="Calibri" w:eastAsia="Calibri" w:hAnsi="Calibri" w:cs="Calibri"/>
              </w:rPr>
            </w:pPr>
            <w:r>
              <w:rPr>
                <w:rFonts w:ascii="Calibri" w:eastAsia="Calibri" w:hAnsi="Calibri" w:cs="Calibri"/>
              </w:rPr>
              <w:t>Completed</w:t>
            </w:r>
          </w:p>
        </w:tc>
      </w:tr>
      <w:tr w:rsidR="0002441C" w14:paraId="17785B1A"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FD7D313"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3.1</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C9813B"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Review the Ofsted preparation document, add comments or edits, and incorporate content specific to the infant school.</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6F7BB0"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 xml:space="preserve">All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E9052D"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Ongoing</w:t>
            </w:r>
          </w:p>
        </w:tc>
      </w:tr>
      <w:tr w:rsidR="0002441C" w14:paraId="76E1DDEB"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7F4BC06B"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3.1</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21D01F"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Coordinate with key governors to form a small, flexible team for the Ofsted inspection, focusing on safeguarding, pupil premium, and curriculum expertise.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9E37E"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 AS, HP</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D93563"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02441C" w14:paraId="1551EFB3"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20B8119"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4.3</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647852"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Update the suspension letter template to specify that the chair of governors should be contacted via the clerk.</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68AC45"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 JaB</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A59BAC"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ASAP</w:t>
            </w:r>
          </w:p>
        </w:tc>
      </w:tr>
      <w:tr w:rsidR="0002441C" w14:paraId="6D60C760"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365742E"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4.6</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26CD7E"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Design inclusion survey for parents and pupils, focusing on thriving, belonging, and achieving, with stratification for SEND and Pupil Premium status.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A6513B"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 EP-L</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74B4D"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02441C" w14:paraId="1DA0217C"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34CD9833"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4.6</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54ACC6"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Analyse responses from the inclusion survey to identify trends and areas for further development.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751660"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 EP-L</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E830AD"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02441C" w14:paraId="456BDF6B"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3315436"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rPr>
              <w:t>5.0</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785E01"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rPr>
              <w:t>Post the junior school's SEND report on Governor Hub for governor review and approval and ask governors to approve.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BB23A8"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rPr>
              <w:t>JaB</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53AEF6" w14:textId="77777777" w:rsidR="0002441C" w:rsidRDefault="00000000">
            <w:pPr>
              <w:pBdr>
                <w:top w:val="nil"/>
                <w:left w:val="nil"/>
                <w:bottom w:val="nil"/>
                <w:right w:val="nil"/>
                <w:between w:val="nil"/>
              </w:pBdr>
              <w:jc w:val="center"/>
              <w:rPr>
                <w:rFonts w:ascii="Calibri" w:eastAsia="Calibri" w:hAnsi="Calibri" w:cs="Calibri"/>
              </w:rPr>
            </w:pPr>
            <w:r>
              <w:rPr>
                <w:rFonts w:ascii="Calibri" w:eastAsia="Calibri" w:hAnsi="Calibri" w:cs="Calibri"/>
              </w:rPr>
              <w:t>Completed</w:t>
            </w:r>
          </w:p>
        </w:tc>
      </w:tr>
      <w:tr w:rsidR="0002441C" w14:paraId="09FF644A"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666F3B8"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6.1</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A0D09B"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Liaise with the finance team to streamline the process for distributing management accounts to the board via the GovernorHub</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6FA054"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JaB</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667E13"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ASAP</w:t>
            </w:r>
          </w:p>
        </w:tc>
      </w:tr>
      <w:tr w:rsidR="0002441C" w14:paraId="55A3CB50"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25B72601"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lastRenderedPageBreak/>
              <w:t>8.1</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39B3E6"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conduct a review of SCR and training records, with a specific focus on Prevent.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B77FF6"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BM</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B4A827"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Term 4</w:t>
            </w:r>
          </w:p>
        </w:tc>
      </w:tr>
      <w:tr w:rsidR="0002441C" w14:paraId="262B003F"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07BBB287"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8.2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BC9F30"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Contact CST highlighting the limitation of three CST supervision slots per large term.</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33CC7A"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LW</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384E91"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Not set</w:t>
            </w:r>
          </w:p>
        </w:tc>
      </w:tr>
      <w:tr w:rsidR="0002441C" w14:paraId="24E58BD2"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5AB5361F"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8.2</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EA16CE"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Coordinate with AK-H to discuss safeguarding and SEND governance, including the support offered by HG for new governors.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79CAFB"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EP-L</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6CD9A0"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Early T4</w:t>
            </w:r>
          </w:p>
        </w:tc>
      </w:tr>
      <w:tr w:rsidR="0002441C" w14:paraId="2E114951"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1531AFB7"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9.0</w:t>
            </w:r>
          </w:p>
        </w:tc>
        <w:tc>
          <w:tcPr>
            <w:tcW w:w="765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2EC158"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Convey the governors' appreciation to the staff for their work and achievements.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BC19D8" w14:textId="77777777" w:rsidR="0002441C" w:rsidRDefault="00000000">
            <w:pPr>
              <w:pBdr>
                <w:top w:val="nil"/>
                <w:left w:val="nil"/>
                <w:bottom w:val="nil"/>
                <w:right w:val="nil"/>
                <w:between w:val="nil"/>
              </w:pBdr>
              <w:rPr>
                <w:rFonts w:ascii="Calibri" w:eastAsia="Calibri" w:hAnsi="Calibri" w:cs="Calibri"/>
                <w:b/>
                <w:bCs/>
                <w:color w:val="EE0000"/>
              </w:rPr>
            </w:pPr>
            <w:r>
              <w:rPr>
                <w:rFonts w:ascii="Calibri" w:eastAsia="Calibri" w:hAnsi="Calibri" w:cs="Calibri"/>
                <w:b/>
                <w:bCs/>
                <w:color w:val="EE0000"/>
              </w:rPr>
              <w:t>GF</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85B3F"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ASAP</w:t>
            </w:r>
          </w:p>
        </w:tc>
      </w:tr>
      <w:tr w:rsidR="0002441C" w14:paraId="084161B1"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8368290"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10.0</w:t>
            </w:r>
          </w:p>
        </w:tc>
        <w:tc>
          <w:tcPr>
            <w:tcW w:w="7654" w:type="dxa"/>
            <w:tcBorders>
              <w:left w:val="single" w:sz="8" w:space="0" w:color="000000"/>
              <w:bottom w:val="single" w:sz="8" w:space="0" w:color="000000"/>
              <w:right w:val="single" w:sz="8" w:space="0" w:color="000000"/>
            </w:tcBorders>
            <w:vAlign w:val="center"/>
          </w:tcPr>
          <w:p w14:paraId="0E3BBBDC"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b/>
                <w:bCs/>
                <w:color w:val="EE0000"/>
              </w:rPr>
              <w:t>Share the date of the Ofsted preparation meeting with Jack Lacy with the board in case others can attend.</w:t>
            </w:r>
          </w:p>
        </w:tc>
        <w:tc>
          <w:tcPr>
            <w:tcW w:w="1134" w:type="dxa"/>
            <w:tcBorders>
              <w:left w:val="single" w:sz="8" w:space="0" w:color="000000"/>
              <w:bottom w:val="single" w:sz="8" w:space="0" w:color="000000"/>
              <w:right w:val="single" w:sz="8" w:space="0" w:color="000000"/>
            </w:tcBorders>
            <w:vAlign w:val="center"/>
          </w:tcPr>
          <w:p w14:paraId="24A2AFD4"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EE0000"/>
              </w:rPr>
              <w:t>AS, HP</w:t>
            </w:r>
          </w:p>
        </w:tc>
        <w:tc>
          <w:tcPr>
            <w:tcW w:w="14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4027BE"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When available</w:t>
            </w:r>
          </w:p>
        </w:tc>
      </w:tr>
      <w:tr w:rsidR="0002441C" w14:paraId="6D6F81DA"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4F4D8995"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10.0</w:t>
            </w:r>
          </w:p>
        </w:tc>
        <w:tc>
          <w:tcPr>
            <w:tcW w:w="7654" w:type="dxa"/>
            <w:tcBorders>
              <w:top w:val="single" w:sz="8" w:space="0" w:color="000000"/>
              <w:left w:val="single" w:sz="8" w:space="0" w:color="000000"/>
              <w:bottom w:val="single" w:sz="4" w:space="0" w:color="000000"/>
              <w:right w:val="single" w:sz="8" w:space="0" w:color="000000"/>
            </w:tcBorders>
            <w:vAlign w:val="center"/>
          </w:tcPr>
          <w:p w14:paraId="6CA40180"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b/>
                <w:bCs/>
                <w:color w:val="EE0000"/>
              </w:rPr>
              <w:t>Determine and implement a method for incorporating pre-submitted questions and responses into the meeting minutes.</w:t>
            </w:r>
          </w:p>
        </w:tc>
        <w:tc>
          <w:tcPr>
            <w:tcW w:w="1134" w:type="dxa"/>
            <w:tcBorders>
              <w:top w:val="single" w:sz="8" w:space="0" w:color="000000"/>
              <w:left w:val="single" w:sz="8" w:space="0" w:color="000000"/>
              <w:bottom w:val="single" w:sz="4" w:space="0" w:color="000000"/>
              <w:right w:val="single" w:sz="8" w:space="0" w:color="000000"/>
            </w:tcBorders>
            <w:vAlign w:val="center"/>
          </w:tcPr>
          <w:p w14:paraId="6ADA8CAD"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EE0000"/>
              </w:rPr>
              <w:t>JaB</w:t>
            </w:r>
          </w:p>
        </w:tc>
        <w:tc>
          <w:tcPr>
            <w:tcW w:w="1418" w:type="dxa"/>
            <w:tcBorders>
              <w:top w:val="single" w:sz="8" w:space="0" w:color="000000"/>
              <w:left w:val="single" w:sz="8" w:space="0" w:color="000000"/>
              <w:bottom w:val="single" w:sz="4" w:space="0" w:color="000000"/>
              <w:right w:val="single" w:sz="8" w:space="0" w:color="000000"/>
            </w:tcBorders>
            <w:shd w:val="clear" w:color="auto" w:fill="FFFFFF"/>
            <w:vAlign w:val="center"/>
          </w:tcPr>
          <w:p w14:paraId="5D53A861"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Term 4 LGB</w:t>
            </w:r>
          </w:p>
        </w:tc>
      </w:tr>
      <w:tr w:rsidR="0002441C" w14:paraId="5BC4DA7B" w14:textId="77777777">
        <w:trPr>
          <w:trHeight w:val="99"/>
        </w:trPr>
        <w:tc>
          <w:tcPr>
            <w:tcW w:w="660" w:type="dxa"/>
            <w:tcBorders>
              <w:top w:val="single" w:sz="8" w:space="0" w:color="000000"/>
              <w:left w:val="single" w:sz="8" w:space="0" w:color="000000"/>
              <w:bottom w:val="single" w:sz="8" w:space="0" w:color="000000"/>
              <w:right w:val="single" w:sz="8" w:space="0" w:color="000000"/>
            </w:tcBorders>
            <w:shd w:val="clear" w:color="auto" w:fill="FFFFFF"/>
          </w:tcPr>
          <w:p w14:paraId="69D5889F" w14:textId="77777777" w:rsidR="0002441C" w:rsidRDefault="00000000">
            <w:pPr>
              <w:widowControl/>
              <w:pBdr>
                <w:top w:val="nil"/>
                <w:left w:val="nil"/>
                <w:bottom w:val="nil"/>
                <w:right w:val="nil"/>
                <w:between w:val="nil"/>
              </w:pBdr>
              <w:jc w:val="both"/>
              <w:rPr>
                <w:rFonts w:ascii="Calibri" w:eastAsia="Calibri" w:hAnsi="Calibri" w:cs="Calibri"/>
                <w:b/>
                <w:bCs/>
                <w:color w:val="EE0000"/>
              </w:rPr>
            </w:pPr>
            <w:r>
              <w:rPr>
                <w:rFonts w:ascii="Calibri" w:eastAsia="Calibri" w:hAnsi="Calibri" w:cs="Calibri"/>
                <w:b/>
                <w:bCs/>
                <w:color w:val="EE0000"/>
              </w:rPr>
              <w:t>10.0</w:t>
            </w:r>
          </w:p>
        </w:tc>
        <w:tc>
          <w:tcPr>
            <w:tcW w:w="7654" w:type="dxa"/>
            <w:tcBorders>
              <w:top w:val="single" w:sz="4" w:space="0" w:color="000000"/>
              <w:left w:val="single" w:sz="8" w:space="0" w:color="000000"/>
              <w:bottom w:val="single" w:sz="8" w:space="0" w:color="000000"/>
              <w:right w:val="single" w:sz="8" w:space="0" w:color="000000"/>
            </w:tcBorders>
            <w:vAlign w:val="center"/>
          </w:tcPr>
          <w:p w14:paraId="3FE7227D" w14:textId="77777777" w:rsidR="0002441C" w:rsidRDefault="00000000">
            <w:pPr>
              <w:widowControl/>
              <w:pBdr>
                <w:top w:val="nil"/>
                <w:left w:val="nil"/>
                <w:bottom w:val="nil"/>
                <w:right w:val="nil"/>
                <w:between w:val="nil"/>
              </w:pBdr>
              <w:jc w:val="both"/>
              <w:rPr>
                <w:rFonts w:ascii="Calibri" w:eastAsia="Calibri" w:hAnsi="Calibri" w:cs="Calibri"/>
              </w:rPr>
            </w:pPr>
            <w:r>
              <w:rPr>
                <w:rFonts w:ascii="Calibri" w:eastAsia="Calibri" w:hAnsi="Calibri" w:cs="Calibri"/>
                <w:b/>
                <w:bCs/>
                <w:color w:val="EE0000"/>
              </w:rPr>
              <w:t xml:space="preserve">Share feedback from pupil voice with LGB </w:t>
            </w:r>
          </w:p>
        </w:tc>
        <w:tc>
          <w:tcPr>
            <w:tcW w:w="1134" w:type="dxa"/>
            <w:tcBorders>
              <w:top w:val="single" w:sz="4" w:space="0" w:color="000000"/>
              <w:left w:val="single" w:sz="8" w:space="0" w:color="000000"/>
              <w:bottom w:val="single" w:sz="8" w:space="0" w:color="000000"/>
              <w:right w:val="single" w:sz="8" w:space="0" w:color="000000"/>
            </w:tcBorders>
            <w:vAlign w:val="center"/>
          </w:tcPr>
          <w:p w14:paraId="2122F060" w14:textId="77777777" w:rsidR="0002441C" w:rsidRDefault="00000000">
            <w:pPr>
              <w:pBdr>
                <w:top w:val="nil"/>
                <w:left w:val="nil"/>
                <w:bottom w:val="nil"/>
                <w:right w:val="nil"/>
                <w:between w:val="nil"/>
              </w:pBdr>
              <w:rPr>
                <w:rFonts w:ascii="Calibri" w:eastAsia="Calibri" w:hAnsi="Calibri" w:cs="Calibri"/>
              </w:rPr>
            </w:pPr>
            <w:r>
              <w:rPr>
                <w:rFonts w:ascii="Calibri" w:eastAsia="Calibri" w:hAnsi="Calibri" w:cs="Calibri"/>
                <w:b/>
                <w:bCs/>
                <w:color w:val="EE0000"/>
              </w:rPr>
              <w:t>GF</w:t>
            </w:r>
          </w:p>
        </w:tc>
        <w:tc>
          <w:tcPr>
            <w:tcW w:w="1418" w:type="dxa"/>
            <w:tcBorders>
              <w:top w:val="single" w:sz="4" w:space="0" w:color="000000"/>
              <w:left w:val="single" w:sz="8" w:space="0" w:color="000000"/>
              <w:bottom w:val="single" w:sz="8" w:space="0" w:color="000000"/>
              <w:right w:val="single" w:sz="8" w:space="0" w:color="000000"/>
            </w:tcBorders>
            <w:shd w:val="clear" w:color="auto" w:fill="FFFFFF"/>
            <w:vAlign w:val="center"/>
          </w:tcPr>
          <w:p w14:paraId="546C59FB" w14:textId="77777777" w:rsidR="0002441C" w:rsidRDefault="00000000">
            <w:pPr>
              <w:pBdr>
                <w:top w:val="nil"/>
                <w:left w:val="nil"/>
                <w:bottom w:val="nil"/>
                <w:right w:val="nil"/>
                <w:between w:val="nil"/>
              </w:pBdr>
              <w:jc w:val="center"/>
              <w:rPr>
                <w:rFonts w:ascii="Calibri" w:eastAsia="Calibri" w:hAnsi="Calibri" w:cs="Calibri"/>
                <w:b/>
                <w:bCs/>
                <w:color w:val="EE0000"/>
              </w:rPr>
            </w:pPr>
            <w:r>
              <w:rPr>
                <w:rFonts w:ascii="Calibri" w:eastAsia="Calibri" w:hAnsi="Calibri" w:cs="Calibri"/>
                <w:b/>
                <w:bCs/>
                <w:color w:val="EE0000"/>
              </w:rPr>
              <w:t>When available</w:t>
            </w:r>
          </w:p>
        </w:tc>
      </w:tr>
    </w:tbl>
    <w:p w14:paraId="29FE9AE5" w14:textId="77777777" w:rsidR="0002441C" w:rsidRDefault="0002441C">
      <w:pPr>
        <w:widowControl/>
        <w:spacing w:line="276" w:lineRule="auto"/>
        <w:rPr>
          <w:rFonts w:ascii="Montserrat" w:eastAsia="Montserrat" w:hAnsi="Montserrat" w:cs="Montserrat"/>
          <w:sz w:val="22"/>
          <w:szCs w:val="22"/>
        </w:rPr>
      </w:pPr>
    </w:p>
    <w:tbl>
      <w:tblPr>
        <w:tblStyle w:val="affe"/>
        <w:tblW w:w="1091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10206"/>
      </w:tblGrid>
      <w:tr w:rsidR="0002441C" w14:paraId="4D17A7D0" w14:textId="77777777">
        <w:tc>
          <w:tcPr>
            <w:tcW w:w="710" w:type="dxa"/>
            <w:shd w:val="clear" w:color="auto" w:fill="FFE599"/>
          </w:tcPr>
          <w:p w14:paraId="2789007C" w14:textId="77777777" w:rsidR="0002441C" w:rsidRDefault="0002441C">
            <w:pPr>
              <w:widowControl/>
              <w:rPr>
                <w:rFonts w:ascii="Calibri" w:eastAsia="Calibri" w:hAnsi="Calibri" w:cs="Calibri"/>
                <w:b/>
                <w:bCs/>
                <w:color w:val="0070C0"/>
              </w:rPr>
            </w:pPr>
          </w:p>
        </w:tc>
        <w:tc>
          <w:tcPr>
            <w:tcW w:w="10206" w:type="dxa"/>
            <w:shd w:val="clear" w:color="auto" w:fill="FFE599"/>
          </w:tcPr>
          <w:p w14:paraId="4DE45EDA" w14:textId="77777777" w:rsidR="0002441C" w:rsidRDefault="00000000">
            <w:pPr>
              <w:widowControl/>
              <w:jc w:val="center"/>
              <w:rPr>
                <w:rFonts w:ascii="Calibri" w:eastAsia="Calibri" w:hAnsi="Calibri" w:cs="Calibri"/>
                <w:b/>
                <w:bCs/>
                <w:color w:val="0070C0"/>
              </w:rPr>
            </w:pPr>
            <w:r>
              <w:rPr>
                <w:rFonts w:ascii="Calibri" w:eastAsia="Calibri" w:hAnsi="Calibri" w:cs="Calibri"/>
                <w:b/>
                <w:bCs/>
              </w:rPr>
              <w:t>Decisions Taken</w:t>
            </w:r>
          </w:p>
        </w:tc>
      </w:tr>
      <w:tr w:rsidR="0002441C" w14:paraId="3713632E" w14:textId="77777777">
        <w:tc>
          <w:tcPr>
            <w:tcW w:w="710" w:type="dxa"/>
          </w:tcPr>
          <w:p w14:paraId="1F8DAF81" w14:textId="77777777" w:rsidR="0002441C" w:rsidRDefault="00000000">
            <w:pPr>
              <w:widowControl/>
              <w:rPr>
                <w:rFonts w:ascii="Calibri" w:eastAsia="Calibri" w:hAnsi="Calibri" w:cs="Calibri"/>
                <w:b/>
                <w:bCs/>
                <w:color w:val="0070C0"/>
              </w:rPr>
            </w:pPr>
            <w:r>
              <w:rPr>
                <w:rFonts w:ascii="Calibri" w:eastAsia="Calibri" w:hAnsi="Calibri" w:cs="Calibri"/>
                <w:b/>
                <w:bCs/>
                <w:color w:val="0070C0"/>
              </w:rPr>
              <w:t>7.2</w:t>
            </w:r>
          </w:p>
        </w:tc>
        <w:tc>
          <w:tcPr>
            <w:tcW w:w="10206" w:type="dxa"/>
          </w:tcPr>
          <w:p w14:paraId="1992B2A5" w14:textId="77777777" w:rsidR="0002441C"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Determination of Admissions Arrangements 2027/28</w:t>
            </w:r>
          </w:p>
          <w:p w14:paraId="2BDC220F" w14:textId="77777777" w:rsidR="0002441C"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Draft admissions arrangements 2027/28 including relevant application forms were circulated to governors prior to the meeting. Governors agreed to determine the arrangements for Henleaze Infant School and Henleaze Junior School for 2027/28</w:t>
            </w:r>
          </w:p>
        </w:tc>
      </w:tr>
      <w:tr w:rsidR="0002441C" w14:paraId="5486F099" w14:textId="77777777">
        <w:tc>
          <w:tcPr>
            <w:tcW w:w="710" w:type="dxa"/>
          </w:tcPr>
          <w:p w14:paraId="7DD0AB5B" w14:textId="77777777" w:rsidR="0002441C" w:rsidRDefault="00000000">
            <w:pPr>
              <w:widowControl/>
              <w:rPr>
                <w:rFonts w:ascii="Calibri" w:eastAsia="Calibri" w:hAnsi="Calibri" w:cs="Calibri"/>
                <w:b/>
                <w:bCs/>
                <w:color w:val="0070C0"/>
              </w:rPr>
            </w:pPr>
            <w:r>
              <w:rPr>
                <w:rFonts w:ascii="Calibri" w:eastAsia="Calibri" w:hAnsi="Calibri" w:cs="Calibri"/>
                <w:b/>
                <w:bCs/>
                <w:color w:val="0070C0"/>
              </w:rPr>
              <w:t>7.3</w:t>
            </w:r>
          </w:p>
        </w:tc>
        <w:tc>
          <w:tcPr>
            <w:tcW w:w="10206" w:type="dxa"/>
          </w:tcPr>
          <w:p w14:paraId="494AC57C" w14:textId="77777777" w:rsidR="0002441C"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The HIS Pay Policy was approved as presented, with the understanding that its principles remain unchanged and that noted inconsistencies were recorded in the minutes.</w:t>
            </w:r>
          </w:p>
        </w:tc>
      </w:tr>
      <w:tr w:rsidR="0002441C" w14:paraId="6002A9AB" w14:textId="77777777">
        <w:tc>
          <w:tcPr>
            <w:tcW w:w="710" w:type="dxa"/>
          </w:tcPr>
          <w:p w14:paraId="57C91385" w14:textId="77777777" w:rsidR="0002441C" w:rsidRDefault="00000000">
            <w:pPr>
              <w:widowControl/>
              <w:rPr>
                <w:rFonts w:ascii="Calibri" w:eastAsia="Calibri" w:hAnsi="Calibri" w:cs="Calibri"/>
                <w:b/>
                <w:bCs/>
                <w:color w:val="0070C0"/>
              </w:rPr>
            </w:pPr>
            <w:r>
              <w:rPr>
                <w:rFonts w:ascii="Calibri" w:eastAsia="Calibri" w:hAnsi="Calibri" w:cs="Calibri"/>
                <w:b/>
                <w:bCs/>
                <w:color w:val="0070C0"/>
              </w:rPr>
              <w:t>7.4</w:t>
            </w:r>
          </w:p>
        </w:tc>
        <w:tc>
          <w:tcPr>
            <w:tcW w:w="10206" w:type="dxa"/>
          </w:tcPr>
          <w:p w14:paraId="57FEAB68" w14:textId="77777777" w:rsidR="0002441C" w:rsidRDefault="00000000">
            <w:pPr>
              <w:widowControl/>
              <w:pBdr>
                <w:top w:val="nil"/>
                <w:left w:val="nil"/>
                <w:bottom w:val="nil"/>
                <w:right w:val="nil"/>
                <w:between w:val="nil"/>
              </w:pBdr>
              <w:rPr>
                <w:rFonts w:ascii="Calibri" w:eastAsia="Calibri" w:hAnsi="Calibri" w:cs="Calibri"/>
                <w:b/>
                <w:bCs/>
                <w:color w:val="0070C0"/>
              </w:rPr>
            </w:pPr>
            <w:r>
              <w:rPr>
                <w:rFonts w:ascii="Calibri" w:eastAsia="Calibri" w:hAnsi="Calibri" w:cs="Calibri"/>
                <w:b/>
                <w:bCs/>
                <w:color w:val="0070C0"/>
              </w:rPr>
              <w:t>The board noted the Allergy Policy (HJS) for information.</w:t>
            </w:r>
          </w:p>
        </w:tc>
      </w:tr>
    </w:tbl>
    <w:p w14:paraId="6133ECBF" w14:textId="77777777" w:rsidR="0002441C" w:rsidRDefault="0002441C">
      <w:pPr>
        <w:rPr>
          <w:rFonts w:ascii="Calibri" w:eastAsia="Calibri" w:hAnsi="Calibri" w:cs="Calibri"/>
          <w:b/>
          <w:bCs/>
          <w:sz w:val="28"/>
          <w:szCs w:val="28"/>
        </w:rPr>
      </w:pPr>
    </w:p>
    <w:p w14:paraId="200E3D3F" w14:textId="77777777" w:rsidR="0002441C" w:rsidRDefault="00000000">
      <w:pPr>
        <w:rPr>
          <w:rFonts w:ascii="Calibri" w:eastAsia="Calibri" w:hAnsi="Calibri" w:cs="Calibri"/>
          <w:b/>
          <w:bCs/>
          <w:sz w:val="28"/>
          <w:szCs w:val="28"/>
        </w:rPr>
      </w:pPr>
      <w:r>
        <w:br w:type="page"/>
      </w:r>
    </w:p>
    <w:p w14:paraId="5D5055E7" w14:textId="77777777" w:rsidR="0002441C" w:rsidRDefault="0002441C">
      <w:pPr>
        <w:rPr>
          <w:rFonts w:ascii="Calibri" w:eastAsia="Calibri" w:hAnsi="Calibri" w:cs="Calibri"/>
          <w:b/>
          <w:bCs/>
          <w:sz w:val="28"/>
          <w:szCs w:val="28"/>
        </w:rPr>
      </w:pPr>
    </w:p>
    <w:p w14:paraId="6DFC6BB6" w14:textId="77777777" w:rsidR="0002441C" w:rsidRDefault="00000000">
      <w:pPr>
        <w:rPr>
          <w:rFonts w:ascii="Calibri" w:eastAsia="Calibri" w:hAnsi="Calibri" w:cs="Calibri"/>
          <w:b/>
          <w:bCs/>
          <w:sz w:val="28"/>
          <w:szCs w:val="28"/>
        </w:rPr>
      </w:pPr>
      <w:r>
        <w:rPr>
          <w:rFonts w:ascii="Calibri" w:eastAsia="Calibri" w:hAnsi="Calibri" w:cs="Calibri"/>
          <w:b/>
          <w:bCs/>
          <w:sz w:val="28"/>
          <w:szCs w:val="28"/>
        </w:rPr>
        <w:t>Answers to governor questions submitted in advance</w:t>
      </w:r>
    </w:p>
    <w:p w14:paraId="07BD1B6F" w14:textId="77777777" w:rsidR="0002441C" w:rsidRDefault="0002441C">
      <w:pPr>
        <w:rPr>
          <w:rFonts w:ascii="Calibri" w:eastAsia="Calibri" w:hAnsi="Calibri" w:cs="Calibri"/>
          <w:b/>
          <w:bCs/>
          <w:sz w:val="28"/>
          <w:szCs w:val="28"/>
        </w:rPr>
      </w:pPr>
    </w:p>
    <w:p w14:paraId="7CD21D9A" w14:textId="77777777" w:rsidR="0002441C" w:rsidRDefault="00000000">
      <w:pPr>
        <w:widowControl/>
        <w:spacing w:line="276" w:lineRule="auto"/>
        <w:rPr>
          <w:rFonts w:ascii="Calibri" w:eastAsia="Calibri" w:hAnsi="Calibri" w:cs="Calibri"/>
          <w:b/>
          <w:bCs/>
        </w:rPr>
      </w:pPr>
      <w:r>
        <w:rPr>
          <w:rFonts w:ascii="Calibri" w:eastAsia="Calibri" w:hAnsi="Calibri" w:cs="Calibri"/>
          <w:b/>
          <w:bCs/>
        </w:rPr>
        <w:t>Attendance &amp; Absence</w:t>
      </w:r>
    </w:p>
    <w:p w14:paraId="23C6AA90" w14:textId="77777777" w:rsidR="0002441C" w:rsidRDefault="00000000">
      <w:pPr>
        <w:widowControl/>
        <w:spacing w:line="276" w:lineRule="auto"/>
        <w:rPr>
          <w:rFonts w:ascii="Calibri" w:eastAsia="Calibri" w:hAnsi="Calibri" w:cs="Calibri"/>
        </w:rPr>
      </w:pPr>
      <w:r>
        <w:rPr>
          <w:rFonts w:ascii="Calibri" w:eastAsia="Calibri" w:hAnsi="Calibri" w:cs="Calibri"/>
        </w:rPr>
        <w:t>Q: How is severe absence defined and monitored?</w:t>
      </w:r>
    </w:p>
    <w:p w14:paraId="178A157B" w14:textId="77777777" w:rsidR="0002441C" w:rsidRDefault="00000000">
      <w:pPr>
        <w:widowControl/>
        <w:spacing w:line="276" w:lineRule="auto"/>
        <w:rPr>
          <w:rFonts w:ascii="Calibri" w:eastAsia="Calibri" w:hAnsi="Calibri" w:cs="Calibri"/>
        </w:rPr>
      </w:pPr>
      <w:r>
        <w:rPr>
          <w:rFonts w:ascii="Calibri" w:eastAsia="Calibri" w:hAnsi="Calibri" w:cs="Calibri"/>
        </w:rPr>
        <w:t>A: Severe absence is defined as attendance below 50% at any point in the year. It is monitored through termly attendance reviews, typically by the SEN and Attendance teams.</w:t>
      </w:r>
    </w:p>
    <w:p w14:paraId="2766C7E2" w14:textId="77777777" w:rsidR="0002441C" w:rsidRDefault="00000000">
      <w:pPr>
        <w:widowControl/>
        <w:spacing w:line="276" w:lineRule="auto"/>
        <w:rPr>
          <w:rFonts w:ascii="Calibri" w:eastAsia="Calibri" w:hAnsi="Calibri" w:cs="Calibri"/>
        </w:rPr>
      </w:pPr>
      <w:r>
        <w:rPr>
          <w:rFonts w:ascii="Calibri" w:eastAsia="Calibri" w:hAnsi="Calibri" w:cs="Calibri"/>
        </w:rPr>
        <w:t>Q: What do attendance and persistent absence trends look like over time?</w:t>
      </w:r>
    </w:p>
    <w:p w14:paraId="2D0EE56C" w14:textId="77777777" w:rsidR="0002441C" w:rsidRDefault="00000000">
      <w:pPr>
        <w:widowControl/>
        <w:spacing w:line="276" w:lineRule="auto"/>
        <w:rPr>
          <w:rFonts w:ascii="Calibri" w:eastAsia="Calibri" w:hAnsi="Calibri" w:cs="Calibri"/>
        </w:rPr>
      </w:pPr>
      <w:r>
        <w:rPr>
          <w:rFonts w:ascii="Calibri" w:eastAsia="Calibri" w:hAnsi="Calibri" w:cs="Calibri"/>
        </w:rPr>
        <w:t>A: Persistent absence (PA, &lt;90%) and severe absence (SA, &lt;50%) figures are monitored annually. For example, in 2023-24, HIS had 4.1% PA and 0% SA; HJS had 3.7% PA and 0% SA. Trends are tracked and discussed termly.</w:t>
      </w:r>
    </w:p>
    <w:p w14:paraId="2F841C2E" w14:textId="77777777" w:rsidR="0002441C" w:rsidRDefault="00000000">
      <w:pPr>
        <w:widowControl/>
        <w:spacing w:line="276" w:lineRule="auto"/>
        <w:rPr>
          <w:rFonts w:ascii="Calibri" w:eastAsia="Calibri" w:hAnsi="Calibri" w:cs="Calibri"/>
        </w:rPr>
      </w:pPr>
      <w:r>
        <w:rPr>
          <w:rFonts w:ascii="Calibri" w:eastAsia="Calibri" w:hAnsi="Calibri" w:cs="Calibri"/>
        </w:rPr>
        <w:t>________________________________________</w:t>
      </w:r>
    </w:p>
    <w:p w14:paraId="7A39D02C" w14:textId="77777777" w:rsidR="0002441C" w:rsidRDefault="00000000">
      <w:pPr>
        <w:widowControl/>
        <w:spacing w:line="276" w:lineRule="auto"/>
        <w:rPr>
          <w:rFonts w:ascii="Calibri" w:eastAsia="Calibri" w:hAnsi="Calibri" w:cs="Calibri"/>
          <w:b/>
          <w:bCs/>
        </w:rPr>
      </w:pPr>
      <w:r>
        <w:rPr>
          <w:rFonts w:ascii="Calibri" w:eastAsia="Calibri" w:hAnsi="Calibri" w:cs="Calibri"/>
          <w:b/>
          <w:bCs/>
        </w:rPr>
        <w:t>Behaviour &amp; Safety</w:t>
      </w:r>
    </w:p>
    <w:p w14:paraId="16F4226C" w14:textId="77777777" w:rsidR="0002441C" w:rsidRDefault="00000000">
      <w:pPr>
        <w:widowControl/>
        <w:spacing w:line="276" w:lineRule="auto"/>
        <w:rPr>
          <w:rFonts w:ascii="Calibri" w:eastAsia="Calibri" w:hAnsi="Calibri" w:cs="Calibri"/>
        </w:rPr>
      </w:pPr>
      <w:r>
        <w:rPr>
          <w:rFonts w:ascii="Calibri" w:eastAsia="Calibri" w:hAnsi="Calibri" w:cs="Calibri"/>
        </w:rPr>
        <w:t>Q: From a staff perspective, is behaviour (including violence) improving?</w:t>
      </w:r>
    </w:p>
    <w:p w14:paraId="2ED93538" w14:textId="77777777" w:rsidR="0002441C" w:rsidRDefault="00000000">
      <w:pPr>
        <w:widowControl/>
        <w:spacing w:line="276" w:lineRule="auto"/>
        <w:rPr>
          <w:rFonts w:ascii="Calibri" w:eastAsia="Calibri" w:hAnsi="Calibri" w:cs="Calibri"/>
        </w:rPr>
      </w:pPr>
      <w:r>
        <w:rPr>
          <w:rFonts w:ascii="Calibri" w:eastAsia="Calibri" w:hAnsi="Calibri" w:cs="Calibri"/>
        </w:rPr>
        <w:t>A: This was not specifically measured in the recent behaviour survey. Some staff noted challenges with implementing the behaviour policy for dysregulated pupils (often with SEND). Further work and staff training (planned for Term 4 at HJS) are needed to address behaviour for this small minority.</w:t>
      </w:r>
    </w:p>
    <w:p w14:paraId="5DDB70B8" w14:textId="77777777" w:rsidR="0002441C" w:rsidRDefault="00000000">
      <w:pPr>
        <w:widowControl/>
        <w:spacing w:line="276" w:lineRule="auto"/>
        <w:rPr>
          <w:rFonts w:ascii="Calibri" w:eastAsia="Calibri" w:hAnsi="Calibri" w:cs="Calibri"/>
        </w:rPr>
      </w:pPr>
      <w:r>
        <w:rPr>
          <w:rFonts w:ascii="Calibri" w:eastAsia="Calibri" w:hAnsi="Calibri" w:cs="Calibri"/>
        </w:rPr>
        <w:t>________________________________________</w:t>
      </w:r>
    </w:p>
    <w:p w14:paraId="468038B5" w14:textId="77777777" w:rsidR="0002441C" w:rsidRDefault="00000000">
      <w:pPr>
        <w:widowControl/>
        <w:spacing w:line="276" w:lineRule="auto"/>
        <w:rPr>
          <w:rFonts w:ascii="Calibri" w:eastAsia="Calibri" w:hAnsi="Calibri" w:cs="Calibri"/>
          <w:b/>
          <w:bCs/>
        </w:rPr>
      </w:pPr>
      <w:r>
        <w:rPr>
          <w:rFonts w:ascii="Calibri" w:eastAsia="Calibri" w:hAnsi="Calibri" w:cs="Calibri"/>
          <w:b/>
          <w:bCs/>
        </w:rPr>
        <w:t>Attainment &amp; Progress</w:t>
      </w:r>
    </w:p>
    <w:p w14:paraId="400C46E1" w14:textId="77777777" w:rsidR="0002441C" w:rsidRDefault="00000000">
      <w:pPr>
        <w:widowControl/>
        <w:spacing w:line="276" w:lineRule="auto"/>
        <w:rPr>
          <w:rFonts w:ascii="Calibri" w:eastAsia="Calibri" w:hAnsi="Calibri" w:cs="Calibri"/>
        </w:rPr>
      </w:pPr>
      <w:r>
        <w:rPr>
          <w:rFonts w:ascii="Calibri" w:eastAsia="Calibri" w:hAnsi="Calibri" w:cs="Calibri"/>
        </w:rPr>
        <w:t>Q: Why does writing attainment in HJS appear lower than evidence in books suggests?</w:t>
      </w:r>
    </w:p>
    <w:p w14:paraId="3207F863" w14:textId="77777777" w:rsidR="0002441C" w:rsidRDefault="00000000">
      <w:pPr>
        <w:widowControl/>
        <w:spacing w:line="276" w:lineRule="auto"/>
        <w:rPr>
          <w:rFonts w:ascii="Calibri" w:eastAsia="Calibri" w:hAnsi="Calibri" w:cs="Calibri"/>
        </w:rPr>
      </w:pPr>
      <w:r>
        <w:rPr>
          <w:rFonts w:ascii="Calibri" w:eastAsia="Calibri" w:hAnsi="Calibri" w:cs="Calibri"/>
        </w:rPr>
        <w:t>A: A change in assessment criteria led to lower teacher judgements, which was also seen in other schools. Peer review found evidence of progress in books, suggesting pupils had not regressed. More balanced judgements are expected in the next assessment round.</w:t>
      </w:r>
    </w:p>
    <w:p w14:paraId="76D0AEDA" w14:textId="77777777" w:rsidR="0002441C" w:rsidRDefault="00000000">
      <w:pPr>
        <w:widowControl/>
        <w:spacing w:line="276" w:lineRule="auto"/>
        <w:rPr>
          <w:rFonts w:ascii="Calibri" w:eastAsia="Calibri" w:hAnsi="Calibri" w:cs="Calibri"/>
        </w:rPr>
      </w:pPr>
      <w:r>
        <w:rPr>
          <w:rFonts w:ascii="Calibri" w:eastAsia="Calibri" w:hAnsi="Calibri" w:cs="Calibri"/>
        </w:rPr>
        <w:t>Q: Is any action or formal recording needed to address this mismatch?</w:t>
      </w:r>
    </w:p>
    <w:p w14:paraId="3ED0C693" w14:textId="77777777" w:rsidR="0002441C" w:rsidRDefault="00000000">
      <w:pPr>
        <w:widowControl/>
        <w:spacing w:line="276" w:lineRule="auto"/>
        <w:rPr>
          <w:rFonts w:ascii="Calibri" w:eastAsia="Calibri" w:hAnsi="Calibri" w:cs="Calibri"/>
        </w:rPr>
      </w:pPr>
      <w:r>
        <w:rPr>
          <w:rFonts w:ascii="Calibri" w:eastAsia="Calibri" w:hAnsi="Calibri" w:cs="Calibri"/>
        </w:rPr>
        <w:t>A: A peer review report has been produced to address the mismatch.</w:t>
      </w:r>
    </w:p>
    <w:p w14:paraId="6A5EC619" w14:textId="77777777" w:rsidR="0002441C" w:rsidRDefault="00000000">
      <w:pPr>
        <w:widowControl/>
        <w:spacing w:line="276" w:lineRule="auto"/>
        <w:rPr>
          <w:rFonts w:ascii="Calibri" w:eastAsia="Calibri" w:hAnsi="Calibri" w:cs="Calibri"/>
        </w:rPr>
      </w:pPr>
      <w:r>
        <w:rPr>
          <w:rFonts w:ascii="Calibri" w:eastAsia="Calibri" w:hAnsi="Calibri" w:cs="Calibri"/>
        </w:rPr>
        <w:t>Q: Is Year 1 phonics intervention (% and pupil numbers) in line with previous years?</w:t>
      </w:r>
    </w:p>
    <w:p w14:paraId="50E29EF9" w14:textId="77777777" w:rsidR="0002441C" w:rsidRDefault="00000000">
      <w:pPr>
        <w:widowControl/>
        <w:spacing w:line="276" w:lineRule="auto"/>
        <w:rPr>
          <w:rFonts w:ascii="Calibri" w:eastAsia="Calibri" w:hAnsi="Calibri" w:cs="Calibri"/>
        </w:rPr>
      </w:pPr>
      <w:r>
        <w:rPr>
          <w:rFonts w:ascii="Calibri" w:eastAsia="Calibri" w:hAnsi="Calibri" w:cs="Calibri"/>
        </w:rPr>
        <w:t xml:space="preserve">A: Outcomes are on track to be </w:t>
      </w:r>
      <w:proofErr w:type="gramStart"/>
      <w:r>
        <w:rPr>
          <w:rFonts w:ascii="Calibri" w:eastAsia="Calibri" w:hAnsi="Calibri" w:cs="Calibri"/>
        </w:rPr>
        <w:t>similar to</w:t>
      </w:r>
      <w:proofErr w:type="gramEnd"/>
      <w:r>
        <w:rPr>
          <w:rFonts w:ascii="Calibri" w:eastAsia="Calibri" w:hAnsi="Calibri" w:cs="Calibri"/>
        </w:rPr>
        <w:t xml:space="preserve"> previous years, except for pupil premium (PP) children, as </w:t>
      </w:r>
      <w:proofErr w:type="gramStart"/>
      <w:r>
        <w:rPr>
          <w:rFonts w:ascii="Calibri" w:eastAsia="Calibri" w:hAnsi="Calibri" w:cs="Calibri"/>
        </w:rPr>
        <w:t>both in</w:t>
      </w:r>
      <w:proofErr w:type="gramEnd"/>
      <w:r>
        <w:rPr>
          <w:rFonts w:ascii="Calibri" w:eastAsia="Calibri" w:hAnsi="Calibri" w:cs="Calibri"/>
        </w:rPr>
        <w:t xml:space="preserve"> this cohort have SEND needs.</w:t>
      </w:r>
    </w:p>
    <w:p w14:paraId="20F993E5" w14:textId="77777777" w:rsidR="0002441C" w:rsidRDefault="00000000">
      <w:pPr>
        <w:widowControl/>
        <w:spacing w:line="276" w:lineRule="auto"/>
        <w:rPr>
          <w:rFonts w:ascii="Calibri" w:eastAsia="Calibri" w:hAnsi="Calibri" w:cs="Calibri"/>
        </w:rPr>
      </w:pPr>
      <w:r>
        <w:rPr>
          <w:rFonts w:ascii="Calibri" w:eastAsia="Calibri" w:hAnsi="Calibri" w:cs="Calibri"/>
        </w:rPr>
        <w:t>Q: Why is Year 6 attainment currently lower than last year?</w:t>
      </w:r>
    </w:p>
    <w:p w14:paraId="21AB7F13" w14:textId="77777777" w:rsidR="0002441C" w:rsidRDefault="00000000">
      <w:pPr>
        <w:widowControl/>
        <w:spacing w:line="276" w:lineRule="auto"/>
        <w:rPr>
          <w:rFonts w:ascii="Calibri" w:eastAsia="Calibri" w:hAnsi="Calibri" w:cs="Calibri"/>
        </w:rPr>
      </w:pPr>
      <w:r>
        <w:rPr>
          <w:rFonts w:ascii="Calibri" w:eastAsia="Calibri" w:hAnsi="Calibri" w:cs="Calibri"/>
        </w:rPr>
        <w:t>A: To be discussed in detail at the meeting.</w:t>
      </w:r>
    </w:p>
    <w:p w14:paraId="4B36CF4C" w14:textId="77777777" w:rsidR="0002441C" w:rsidRDefault="00000000">
      <w:pPr>
        <w:widowControl/>
        <w:spacing w:line="276" w:lineRule="auto"/>
        <w:rPr>
          <w:rFonts w:ascii="Calibri" w:eastAsia="Calibri" w:hAnsi="Calibri" w:cs="Calibri"/>
        </w:rPr>
      </w:pPr>
      <w:r>
        <w:rPr>
          <w:rFonts w:ascii="Calibri" w:eastAsia="Calibri" w:hAnsi="Calibri" w:cs="Calibri"/>
        </w:rPr>
        <w:t>Q: Were lower Year 6 combined scores anticipated?</w:t>
      </w:r>
    </w:p>
    <w:p w14:paraId="10BB76D2" w14:textId="77777777" w:rsidR="0002441C" w:rsidRDefault="00000000">
      <w:pPr>
        <w:widowControl/>
        <w:spacing w:line="276" w:lineRule="auto"/>
        <w:rPr>
          <w:rFonts w:ascii="Calibri" w:eastAsia="Calibri" w:hAnsi="Calibri" w:cs="Calibri"/>
        </w:rPr>
      </w:pPr>
      <w:r>
        <w:rPr>
          <w:rFonts w:ascii="Calibri" w:eastAsia="Calibri" w:hAnsi="Calibri" w:cs="Calibri"/>
        </w:rPr>
        <w:t>A: To be discussed in detail at the meeting.</w:t>
      </w:r>
    </w:p>
    <w:p w14:paraId="02CA1276" w14:textId="77777777" w:rsidR="0002441C" w:rsidRDefault="00000000">
      <w:pPr>
        <w:widowControl/>
        <w:spacing w:line="276" w:lineRule="auto"/>
        <w:rPr>
          <w:rFonts w:ascii="Calibri" w:eastAsia="Calibri" w:hAnsi="Calibri" w:cs="Calibri"/>
        </w:rPr>
      </w:pPr>
      <w:r>
        <w:rPr>
          <w:rFonts w:ascii="Calibri" w:eastAsia="Calibri" w:hAnsi="Calibri" w:cs="Calibri"/>
        </w:rPr>
        <w:t>Q: To what extent does limited exposure to CUSP explain Year 6 outcomes?</w:t>
      </w:r>
    </w:p>
    <w:p w14:paraId="1D32E6E0" w14:textId="77777777" w:rsidR="0002441C" w:rsidRDefault="00000000">
      <w:pPr>
        <w:widowControl/>
        <w:spacing w:line="276" w:lineRule="auto"/>
        <w:rPr>
          <w:rFonts w:ascii="Calibri" w:eastAsia="Calibri" w:hAnsi="Calibri" w:cs="Calibri"/>
        </w:rPr>
      </w:pPr>
      <w:r>
        <w:rPr>
          <w:rFonts w:ascii="Calibri" w:eastAsia="Calibri" w:hAnsi="Calibri" w:cs="Calibri"/>
        </w:rPr>
        <w:t>A: To be discussed in detail at the meeting.</w:t>
      </w:r>
    </w:p>
    <w:p w14:paraId="44CFE715" w14:textId="77777777" w:rsidR="0002441C" w:rsidRDefault="00000000">
      <w:pPr>
        <w:widowControl/>
        <w:spacing w:line="276" w:lineRule="auto"/>
        <w:rPr>
          <w:rFonts w:ascii="Calibri" w:eastAsia="Calibri" w:hAnsi="Calibri" w:cs="Calibri"/>
        </w:rPr>
      </w:pPr>
      <w:r>
        <w:rPr>
          <w:rFonts w:ascii="Calibri" w:eastAsia="Calibri" w:hAnsi="Calibri" w:cs="Calibri"/>
        </w:rPr>
        <w:t>Q: Why are there so few pupils working above the expected standard?</w:t>
      </w:r>
    </w:p>
    <w:p w14:paraId="76E0FAF3" w14:textId="77777777" w:rsidR="0002441C" w:rsidRDefault="00000000">
      <w:pPr>
        <w:widowControl/>
        <w:spacing w:line="276" w:lineRule="auto"/>
        <w:rPr>
          <w:rFonts w:ascii="Calibri" w:eastAsia="Calibri" w:hAnsi="Calibri" w:cs="Calibri"/>
        </w:rPr>
      </w:pPr>
      <w:r>
        <w:rPr>
          <w:rFonts w:ascii="Calibri" w:eastAsia="Calibri" w:hAnsi="Calibri" w:cs="Calibri"/>
        </w:rPr>
        <w:t>A: It is early in the year for pupils to have mastered the curriculum. Few are expected to achieve Greater Depth Standard in writing due to gaps in fundamentals (punctuation, spelling, handwriting) being addressed.</w:t>
      </w:r>
    </w:p>
    <w:p w14:paraId="300832D1" w14:textId="77777777" w:rsidR="0002441C" w:rsidRDefault="00000000">
      <w:pPr>
        <w:widowControl/>
        <w:spacing w:line="276" w:lineRule="auto"/>
        <w:rPr>
          <w:rFonts w:ascii="Calibri" w:eastAsia="Calibri" w:hAnsi="Calibri" w:cs="Calibri"/>
        </w:rPr>
      </w:pPr>
      <w:r>
        <w:rPr>
          <w:rFonts w:ascii="Calibri" w:eastAsia="Calibri" w:hAnsi="Calibri" w:cs="Calibri"/>
        </w:rPr>
        <w:t>Q: Is there a risk that higher attainers are not being sufficiently stretched?</w:t>
      </w:r>
    </w:p>
    <w:p w14:paraId="45923D30" w14:textId="77777777" w:rsidR="0002441C" w:rsidRDefault="00000000">
      <w:pPr>
        <w:widowControl/>
        <w:spacing w:line="276" w:lineRule="auto"/>
        <w:rPr>
          <w:rFonts w:ascii="Calibri" w:eastAsia="Calibri" w:hAnsi="Calibri" w:cs="Calibri"/>
        </w:rPr>
      </w:pPr>
      <w:r>
        <w:rPr>
          <w:rFonts w:ascii="Calibri" w:eastAsia="Calibri" w:hAnsi="Calibri" w:cs="Calibri"/>
        </w:rPr>
        <w:lastRenderedPageBreak/>
        <w:t>A: The CUSP curriculum is ambitious and designed for progression, but there is a risk that gap-filling weeks may focus on areas already secure for higher attainers. Teachers are expected to adapt plans to meet all learners' needs.</w:t>
      </w:r>
    </w:p>
    <w:p w14:paraId="16423C4C" w14:textId="77777777" w:rsidR="0002441C" w:rsidRDefault="00000000">
      <w:pPr>
        <w:widowControl/>
        <w:spacing w:line="276" w:lineRule="auto"/>
        <w:rPr>
          <w:rFonts w:ascii="Calibri" w:eastAsia="Calibri" w:hAnsi="Calibri" w:cs="Calibri"/>
        </w:rPr>
      </w:pPr>
      <w:r>
        <w:rPr>
          <w:rFonts w:ascii="Calibri" w:eastAsia="Calibri" w:hAnsi="Calibri" w:cs="Calibri"/>
        </w:rPr>
        <w:t>________________________________________</w:t>
      </w:r>
    </w:p>
    <w:p w14:paraId="060FEBA1" w14:textId="77777777" w:rsidR="0002441C" w:rsidRDefault="00000000">
      <w:pPr>
        <w:widowControl/>
        <w:spacing w:line="276" w:lineRule="auto"/>
        <w:rPr>
          <w:rFonts w:ascii="Calibri" w:eastAsia="Calibri" w:hAnsi="Calibri" w:cs="Calibri"/>
          <w:b/>
          <w:bCs/>
        </w:rPr>
      </w:pPr>
      <w:r>
        <w:rPr>
          <w:rFonts w:ascii="Calibri" w:eastAsia="Calibri" w:hAnsi="Calibri" w:cs="Calibri"/>
          <w:b/>
          <w:bCs/>
        </w:rPr>
        <w:t>Data &amp; Context</w:t>
      </w:r>
    </w:p>
    <w:p w14:paraId="2BCF45EC" w14:textId="77777777" w:rsidR="0002441C" w:rsidRDefault="00000000">
      <w:pPr>
        <w:widowControl/>
        <w:spacing w:line="276" w:lineRule="auto"/>
        <w:rPr>
          <w:rFonts w:ascii="Calibri" w:eastAsia="Calibri" w:hAnsi="Calibri" w:cs="Calibri"/>
        </w:rPr>
      </w:pPr>
      <w:r>
        <w:rPr>
          <w:rFonts w:ascii="Calibri" w:eastAsia="Calibri" w:hAnsi="Calibri" w:cs="Calibri"/>
        </w:rPr>
        <w:t>Q: How do Y1, Y4 and Y6 outcomes compare with previous years?</w:t>
      </w:r>
    </w:p>
    <w:p w14:paraId="49BA3EAF" w14:textId="77777777" w:rsidR="0002441C" w:rsidRDefault="00000000">
      <w:pPr>
        <w:widowControl/>
        <w:spacing w:line="276" w:lineRule="auto"/>
        <w:rPr>
          <w:rFonts w:ascii="Calibri" w:eastAsia="Calibri" w:hAnsi="Calibri" w:cs="Calibri"/>
        </w:rPr>
      </w:pPr>
      <w:r>
        <w:rPr>
          <w:rFonts w:ascii="Calibri" w:eastAsia="Calibri" w:hAnsi="Calibri" w:cs="Calibri"/>
        </w:rPr>
        <w:t>A:</w:t>
      </w:r>
    </w:p>
    <w:p w14:paraId="09039226" w14:textId="77777777" w:rsidR="0002441C" w:rsidRDefault="00000000">
      <w:pPr>
        <w:widowControl/>
        <w:spacing w:line="276" w:lineRule="auto"/>
        <w:rPr>
          <w:rFonts w:ascii="Calibri" w:eastAsia="Calibri" w:hAnsi="Calibri" w:cs="Calibri"/>
        </w:rPr>
      </w:pPr>
      <w:r>
        <w:rPr>
          <w:rFonts w:ascii="Calibri" w:eastAsia="Calibri" w:hAnsi="Calibri" w:cs="Calibri"/>
        </w:rPr>
        <w:t>•</w:t>
      </w:r>
      <w:r>
        <w:rPr>
          <w:rFonts w:ascii="Calibri" w:eastAsia="Calibri" w:hAnsi="Calibri" w:cs="Calibri"/>
        </w:rPr>
        <w:tab/>
        <w:t>Year 1 phonics: On track for 93% pass (all pupils) and 100% (PP) in 2026, compared to 87% and 0% in 2025.</w:t>
      </w:r>
    </w:p>
    <w:p w14:paraId="690A75B9" w14:textId="77777777" w:rsidR="0002441C" w:rsidRDefault="00000000">
      <w:pPr>
        <w:widowControl/>
        <w:spacing w:line="276" w:lineRule="auto"/>
        <w:rPr>
          <w:rFonts w:ascii="Calibri" w:eastAsia="Calibri" w:hAnsi="Calibri" w:cs="Calibri"/>
        </w:rPr>
      </w:pPr>
      <w:r>
        <w:rPr>
          <w:rFonts w:ascii="Calibri" w:eastAsia="Calibri" w:hAnsi="Calibri" w:cs="Calibri"/>
        </w:rPr>
        <w:t>•</w:t>
      </w:r>
      <w:r>
        <w:rPr>
          <w:rFonts w:ascii="Calibri" w:eastAsia="Calibri" w:hAnsi="Calibri" w:cs="Calibri"/>
        </w:rPr>
        <w:tab/>
        <w:t>Year 4 MTCs: 3% increase for PP and 6% increase for all pupils in 2026 compared to 2024.</w:t>
      </w:r>
    </w:p>
    <w:p w14:paraId="515323B5" w14:textId="77777777" w:rsidR="0002441C" w:rsidRDefault="00000000">
      <w:pPr>
        <w:widowControl/>
        <w:spacing w:line="276" w:lineRule="auto"/>
        <w:rPr>
          <w:rFonts w:ascii="Calibri" w:eastAsia="Calibri" w:hAnsi="Calibri" w:cs="Calibri"/>
        </w:rPr>
      </w:pPr>
      <w:r>
        <w:rPr>
          <w:rFonts w:ascii="Calibri" w:eastAsia="Calibri" w:hAnsi="Calibri" w:cs="Calibri"/>
        </w:rPr>
        <w:t>•</w:t>
      </w:r>
      <w:r>
        <w:rPr>
          <w:rFonts w:ascii="Calibri" w:eastAsia="Calibri" w:hAnsi="Calibri" w:cs="Calibri"/>
        </w:rPr>
        <w:tab/>
        <w:t xml:space="preserve">Year 6: Reading 8% lower, </w:t>
      </w:r>
      <w:proofErr w:type="gramStart"/>
      <w:r>
        <w:rPr>
          <w:rFonts w:ascii="Calibri" w:eastAsia="Calibri" w:hAnsi="Calibri" w:cs="Calibri"/>
        </w:rPr>
        <w:t>Writing</w:t>
      </w:r>
      <w:proofErr w:type="gramEnd"/>
      <w:r>
        <w:rPr>
          <w:rFonts w:ascii="Calibri" w:eastAsia="Calibri" w:hAnsi="Calibri" w:cs="Calibri"/>
        </w:rPr>
        <w:t xml:space="preserve"> 12% lower, Maths 9% lower, Combined 15% lower, GPS 5% lower than previous year. Detailed analysis </w:t>
      </w:r>
      <w:proofErr w:type="gramStart"/>
      <w:r>
        <w:rPr>
          <w:rFonts w:ascii="Calibri" w:eastAsia="Calibri" w:hAnsi="Calibri" w:cs="Calibri"/>
        </w:rPr>
        <w:t>to</w:t>
      </w:r>
      <w:proofErr w:type="gramEnd"/>
      <w:r>
        <w:rPr>
          <w:rFonts w:ascii="Calibri" w:eastAsia="Calibri" w:hAnsi="Calibri" w:cs="Calibri"/>
        </w:rPr>
        <w:t xml:space="preserve"> be provided in the meeting.</w:t>
      </w:r>
    </w:p>
    <w:p w14:paraId="7D8DA700" w14:textId="77777777" w:rsidR="0002441C" w:rsidRDefault="00000000">
      <w:pPr>
        <w:widowControl/>
        <w:spacing w:line="276" w:lineRule="auto"/>
        <w:rPr>
          <w:rFonts w:ascii="Calibri" w:eastAsia="Calibri" w:hAnsi="Calibri" w:cs="Calibri"/>
        </w:rPr>
      </w:pPr>
      <w:r>
        <w:rPr>
          <w:rFonts w:ascii="Calibri" w:eastAsia="Calibri" w:hAnsi="Calibri" w:cs="Calibri"/>
        </w:rPr>
        <w:t>Q: How effectively is CST using historical data to provide context?</w:t>
      </w:r>
    </w:p>
    <w:p w14:paraId="3E4C9972" w14:textId="77777777" w:rsidR="0002441C" w:rsidRDefault="00000000">
      <w:pPr>
        <w:widowControl/>
        <w:spacing w:line="276" w:lineRule="auto"/>
        <w:rPr>
          <w:rFonts w:ascii="Calibri" w:eastAsia="Calibri" w:hAnsi="Calibri" w:cs="Calibri"/>
        </w:rPr>
      </w:pPr>
      <w:r>
        <w:rPr>
          <w:rFonts w:ascii="Calibri" w:eastAsia="Calibri" w:hAnsi="Calibri" w:cs="Calibri"/>
        </w:rPr>
        <w:t>A: CST uses last year’s data, national and local comparisons, and the school’s IDSR (available for HJS) to provide context.</w:t>
      </w:r>
    </w:p>
    <w:p w14:paraId="1BA77A5D" w14:textId="77777777" w:rsidR="0002441C" w:rsidRDefault="00000000">
      <w:pPr>
        <w:widowControl/>
        <w:spacing w:line="276" w:lineRule="auto"/>
        <w:rPr>
          <w:rFonts w:ascii="Calibri" w:eastAsia="Calibri" w:hAnsi="Calibri" w:cs="Calibri"/>
        </w:rPr>
      </w:pPr>
      <w:r>
        <w:rPr>
          <w:rFonts w:ascii="Calibri" w:eastAsia="Calibri" w:hAnsi="Calibri" w:cs="Calibri"/>
        </w:rPr>
        <w:t>________________________________________</w:t>
      </w:r>
    </w:p>
    <w:p w14:paraId="030E145C" w14:textId="77777777" w:rsidR="0002441C" w:rsidRDefault="00000000">
      <w:pPr>
        <w:widowControl/>
        <w:spacing w:line="276" w:lineRule="auto"/>
        <w:rPr>
          <w:rFonts w:ascii="Calibri" w:eastAsia="Calibri" w:hAnsi="Calibri" w:cs="Calibri"/>
          <w:b/>
          <w:bCs/>
        </w:rPr>
      </w:pPr>
      <w:r>
        <w:rPr>
          <w:rFonts w:ascii="Calibri" w:eastAsia="Calibri" w:hAnsi="Calibri" w:cs="Calibri"/>
          <w:b/>
          <w:bCs/>
        </w:rPr>
        <w:t>SEND, Medical &amp; Safeguarding</w:t>
      </w:r>
    </w:p>
    <w:p w14:paraId="4E2FC757" w14:textId="77777777" w:rsidR="0002441C" w:rsidRDefault="00000000">
      <w:pPr>
        <w:widowControl/>
        <w:spacing w:line="276" w:lineRule="auto"/>
        <w:rPr>
          <w:rFonts w:ascii="Calibri" w:eastAsia="Calibri" w:hAnsi="Calibri" w:cs="Calibri"/>
        </w:rPr>
      </w:pPr>
      <w:r>
        <w:rPr>
          <w:rFonts w:ascii="Calibri" w:eastAsia="Calibri" w:hAnsi="Calibri" w:cs="Calibri"/>
        </w:rPr>
        <w:t>Q: How is medical information shared with external providers (e.g. Shine)?</w:t>
      </w:r>
    </w:p>
    <w:p w14:paraId="19FF3E1C" w14:textId="77777777" w:rsidR="0002441C" w:rsidRDefault="00000000">
      <w:pPr>
        <w:widowControl/>
        <w:spacing w:line="276" w:lineRule="auto"/>
        <w:rPr>
          <w:rFonts w:ascii="Calibri" w:eastAsia="Calibri" w:hAnsi="Calibri" w:cs="Calibri"/>
        </w:rPr>
      </w:pPr>
      <w:r>
        <w:rPr>
          <w:rFonts w:ascii="Calibri" w:eastAsia="Calibri" w:hAnsi="Calibri" w:cs="Calibri"/>
        </w:rPr>
        <w:t>A: Clubs and School’s Out have access to emergency medication during after-school activities and follow their own medication and allergy policies.</w:t>
      </w:r>
    </w:p>
    <w:p w14:paraId="6FFE790F" w14:textId="77777777" w:rsidR="0002441C" w:rsidRDefault="00000000">
      <w:pPr>
        <w:widowControl/>
        <w:spacing w:line="276" w:lineRule="auto"/>
        <w:rPr>
          <w:rFonts w:ascii="Calibri" w:eastAsia="Calibri" w:hAnsi="Calibri" w:cs="Calibri"/>
        </w:rPr>
      </w:pPr>
      <w:r>
        <w:rPr>
          <w:rFonts w:ascii="Calibri" w:eastAsia="Calibri" w:hAnsi="Calibri" w:cs="Calibri"/>
        </w:rPr>
        <w:t>Q: Do external providers have access to emergency medical supplies where needed?</w:t>
      </w:r>
    </w:p>
    <w:p w14:paraId="107719D5" w14:textId="77777777" w:rsidR="0002441C" w:rsidRDefault="00000000">
      <w:pPr>
        <w:widowControl/>
        <w:spacing w:line="276" w:lineRule="auto"/>
        <w:rPr>
          <w:rFonts w:ascii="Calibri" w:eastAsia="Calibri" w:hAnsi="Calibri" w:cs="Calibri"/>
        </w:rPr>
      </w:pPr>
      <w:r>
        <w:rPr>
          <w:rFonts w:ascii="Calibri" w:eastAsia="Calibri" w:hAnsi="Calibri" w:cs="Calibri"/>
        </w:rPr>
        <w:t>A: Yes, as above.</w:t>
      </w:r>
    </w:p>
    <w:p w14:paraId="4426AAB7" w14:textId="77777777" w:rsidR="0002441C" w:rsidRDefault="00000000">
      <w:pPr>
        <w:widowControl/>
        <w:spacing w:line="276" w:lineRule="auto"/>
        <w:rPr>
          <w:rFonts w:ascii="Calibri" w:eastAsia="Calibri" w:hAnsi="Calibri" w:cs="Calibri"/>
        </w:rPr>
      </w:pPr>
      <w:r>
        <w:rPr>
          <w:rFonts w:ascii="Calibri" w:eastAsia="Calibri" w:hAnsi="Calibri" w:cs="Calibri"/>
        </w:rPr>
        <w:t>Q: How does CST quality-assure medical compliance and training?</w:t>
      </w:r>
    </w:p>
    <w:p w14:paraId="1A6FFA03" w14:textId="77777777" w:rsidR="0002441C" w:rsidRDefault="00000000">
      <w:pPr>
        <w:widowControl/>
        <w:spacing w:line="276" w:lineRule="auto"/>
        <w:rPr>
          <w:rFonts w:ascii="Calibri" w:eastAsia="Calibri" w:hAnsi="Calibri" w:cs="Calibri"/>
        </w:rPr>
      </w:pPr>
      <w:r>
        <w:rPr>
          <w:rFonts w:ascii="Calibri" w:eastAsia="Calibri" w:hAnsi="Calibri" w:cs="Calibri"/>
        </w:rPr>
        <w:t>A: There is no specific audit; the safeguarding audit does not cover medication training. Schools are expected to comply with Trust policies.</w:t>
      </w:r>
    </w:p>
    <w:p w14:paraId="54D6FC29" w14:textId="77777777" w:rsidR="0002441C" w:rsidRDefault="00000000">
      <w:pPr>
        <w:widowControl/>
        <w:spacing w:line="276" w:lineRule="auto"/>
        <w:rPr>
          <w:rFonts w:ascii="Calibri" w:eastAsia="Calibri" w:hAnsi="Calibri" w:cs="Calibri"/>
        </w:rPr>
      </w:pPr>
      <w:r>
        <w:rPr>
          <w:rFonts w:ascii="Calibri" w:eastAsia="Calibri" w:hAnsi="Calibri" w:cs="Calibri"/>
        </w:rPr>
        <w:t>Q: Are medical supplies, staff training and Appendix A checks fully up to date?</w:t>
      </w:r>
    </w:p>
    <w:p w14:paraId="56949E24" w14:textId="77777777" w:rsidR="0002441C" w:rsidRDefault="00000000">
      <w:pPr>
        <w:widowControl/>
        <w:spacing w:line="276" w:lineRule="auto"/>
        <w:rPr>
          <w:rFonts w:ascii="Calibri" w:eastAsia="Calibri" w:hAnsi="Calibri" w:cs="Calibri"/>
        </w:rPr>
      </w:pPr>
      <w:r>
        <w:rPr>
          <w:rFonts w:ascii="Calibri" w:eastAsia="Calibri" w:hAnsi="Calibri" w:cs="Calibri"/>
        </w:rPr>
        <w:t>A: The Business Manager ensures adequate staff training and medical supplies. Lead first aiders on each site check supplies and pupil medication.</w:t>
      </w:r>
    </w:p>
    <w:p w14:paraId="1E839E7A" w14:textId="77777777" w:rsidR="0002441C" w:rsidRDefault="00000000">
      <w:pPr>
        <w:widowControl/>
        <w:spacing w:line="276" w:lineRule="auto"/>
        <w:rPr>
          <w:rFonts w:ascii="Calibri" w:eastAsia="Calibri" w:hAnsi="Calibri" w:cs="Calibri"/>
        </w:rPr>
      </w:pPr>
      <w:r>
        <w:rPr>
          <w:rFonts w:ascii="Calibri" w:eastAsia="Calibri" w:hAnsi="Calibri" w:cs="Calibri"/>
        </w:rPr>
        <w:t>________________________________________</w:t>
      </w:r>
    </w:p>
    <w:p w14:paraId="3A63682A" w14:textId="77777777" w:rsidR="0002441C" w:rsidRDefault="00000000">
      <w:pPr>
        <w:widowControl/>
        <w:spacing w:line="276" w:lineRule="auto"/>
        <w:rPr>
          <w:rFonts w:ascii="Calibri" w:eastAsia="Calibri" w:hAnsi="Calibri" w:cs="Calibri"/>
          <w:b/>
          <w:bCs/>
        </w:rPr>
      </w:pPr>
      <w:r>
        <w:rPr>
          <w:rFonts w:ascii="Calibri" w:eastAsia="Calibri" w:hAnsi="Calibri" w:cs="Calibri"/>
          <w:b/>
          <w:bCs/>
        </w:rPr>
        <w:t>Staffing, Training &amp; Development</w:t>
      </w:r>
    </w:p>
    <w:p w14:paraId="129FF5CB" w14:textId="77777777" w:rsidR="0002441C" w:rsidRDefault="00000000">
      <w:pPr>
        <w:widowControl/>
        <w:spacing w:line="276" w:lineRule="auto"/>
        <w:rPr>
          <w:rFonts w:ascii="Calibri" w:eastAsia="Calibri" w:hAnsi="Calibri" w:cs="Calibri"/>
        </w:rPr>
      </w:pPr>
      <w:r>
        <w:rPr>
          <w:rFonts w:ascii="Calibri" w:eastAsia="Calibri" w:hAnsi="Calibri" w:cs="Calibri"/>
        </w:rPr>
        <w:t>Q: What evidence underpins the positive feedback on LSA/TA knowledge?</w:t>
      </w:r>
    </w:p>
    <w:p w14:paraId="1DA51AC1" w14:textId="77777777" w:rsidR="0002441C" w:rsidRDefault="00000000">
      <w:pPr>
        <w:widowControl/>
        <w:spacing w:line="276" w:lineRule="auto"/>
        <w:rPr>
          <w:rFonts w:ascii="Calibri" w:eastAsia="Calibri" w:hAnsi="Calibri" w:cs="Calibri"/>
        </w:rPr>
      </w:pPr>
      <w:r>
        <w:rPr>
          <w:rFonts w:ascii="Calibri" w:eastAsia="Calibri" w:hAnsi="Calibri" w:cs="Calibri"/>
        </w:rPr>
        <w:t>A: Peer reviews involving the SEN team, Trust teaching and learning leads, and staff from other schools.</w:t>
      </w:r>
    </w:p>
    <w:p w14:paraId="620025D1" w14:textId="77777777" w:rsidR="0002441C" w:rsidRDefault="00000000">
      <w:pPr>
        <w:widowControl/>
        <w:spacing w:line="276" w:lineRule="auto"/>
        <w:rPr>
          <w:rFonts w:ascii="Calibri" w:eastAsia="Calibri" w:hAnsi="Calibri" w:cs="Calibri"/>
        </w:rPr>
      </w:pPr>
      <w:r>
        <w:rPr>
          <w:rFonts w:ascii="Calibri" w:eastAsia="Calibri" w:hAnsi="Calibri" w:cs="Calibri"/>
        </w:rPr>
        <w:t>Q: Will all staff access North Star training?</w:t>
      </w:r>
    </w:p>
    <w:p w14:paraId="3AB7BC9C" w14:textId="77777777" w:rsidR="0002441C" w:rsidRDefault="00000000">
      <w:pPr>
        <w:widowControl/>
        <w:spacing w:line="276" w:lineRule="auto"/>
        <w:rPr>
          <w:rFonts w:ascii="Montserrat" w:eastAsia="Montserrat" w:hAnsi="Montserrat" w:cs="Montserrat"/>
          <w:sz w:val="22"/>
          <w:szCs w:val="22"/>
        </w:rPr>
      </w:pPr>
      <w:r>
        <w:rPr>
          <w:rFonts w:ascii="Calibri" w:eastAsia="Calibri" w:hAnsi="Calibri" w:cs="Calibri"/>
        </w:rPr>
        <w:t>A: All HJS staff will attend; HIS staff have already received this training.</w:t>
      </w:r>
    </w:p>
    <w:sectPr w:rsidR="0002441C">
      <w:headerReference w:type="even" r:id="rId7"/>
      <w:headerReference w:type="default" r:id="rId8"/>
      <w:footerReference w:type="even" r:id="rId9"/>
      <w:footerReference w:type="default" r:id="rId10"/>
      <w:headerReference w:type="first" r:id="rId11"/>
      <w:footerReference w:type="first" r:id="rId12"/>
      <w:pgSz w:w="11906" w:h="16838"/>
      <w:pgMar w:top="568" w:right="720" w:bottom="142" w:left="720" w:header="426"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E0FBC" w14:textId="77777777" w:rsidR="009F589D" w:rsidRDefault="009F589D">
      <w:r>
        <w:separator/>
      </w:r>
    </w:p>
  </w:endnote>
  <w:endnote w:type="continuationSeparator" w:id="0">
    <w:p w14:paraId="68DFB052" w14:textId="77777777" w:rsidR="009F589D" w:rsidRDefault="009F5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426AD0D0-9497-41C4-BBFA-9C4A0BFF1654}"/>
    <w:embedBold r:id="rId2" w:fontKey="{7E49E833-64D2-46BB-BD7F-7C9F931B5716}"/>
    <w:embedItalic r:id="rId3" w:fontKey="{AA8E2522-9377-4A3B-82E3-F4E26CDB0E9E}"/>
  </w:font>
  <w:font w:name="Montserrat">
    <w:charset w:val="00"/>
    <w:family w:val="auto"/>
    <w:pitch w:val="variable"/>
    <w:sig w:usb0="2000020F" w:usb1="00000003" w:usb2="00000000" w:usb3="00000000" w:csb0="00000197" w:csb1="00000000"/>
    <w:embedRegular r:id="rId4" w:fontKey="{13A3C6CC-211A-4BEA-AB1E-DFC9184902EA}"/>
    <w:embedBold r:id="rId5" w:fontKey="{095B76B2-1165-4A3A-874E-89693ADEB83A}"/>
  </w:font>
  <w:font w:name="Times New Roman">
    <w:panose1 w:val="02020603050405020304"/>
    <w:charset w:val="00"/>
    <w:family w:val="roman"/>
    <w:pitch w:val="variable"/>
    <w:sig w:usb0="E0002EFF" w:usb1="C000785B" w:usb2="00000009" w:usb3="00000000" w:csb0="000001FF" w:csb1="00000000"/>
  </w:font>
  <w:font w:name="Liberation Sans">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embedRegular r:id="rId6" w:fontKey="{C768D88A-53FE-4756-B53C-488F1F19CEFC}"/>
    <w:embedItalic r:id="rId7" w:fontKey="{1AC52953-7640-4BFA-832C-23FD05AC730D}"/>
  </w:font>
  <w:font w:name="Georgia">
    <w:panose1 w:val="02040502050405020303"/>
    <w:charset w:val="00"/>
    <w:family w:val="roman"/>
    <w:pitch w:val="variable"/>
    <w:sig w:usb0="00000287" w:usb1="00000000" w:usb2="00000000" w:usb3="00000000" w:csb0="0000009F" w:csb1="00000000"/>
    <w:embedItalic r:id="rId8" w:fontKey="{F3E5A6B9-CC21-4D4C-A744-A0E36D48EA86}"/>
  </w:font>
  <w:font w:name="Calibri">
    <w:panose1 w:val="020F0502020204030204"/>
    <w:charset w:val="00"/>
    <w:family w:val="swiss"/>
    <w:pitch w:val="variable"/>
    <w:sig w:usb0="E4002EFF" w:usb1="C000247B" w:usb2="00000009" w:usb3="00000000" w:csb0="000001FF" w:csb1="00000000"/>
    <w:embedRegular r:id="rId9" w:fontKey="{56EA3AAA-FEF4-4EAC-A03E-4C2F59284B48}"/>
    <w:embedBold r:id="rId10" w:fontKey="{4961BDAE-0CCC-4E84-8EB5-BD545C91AE8B}"/>
    <w:embedItalic r:id="rId11" w:fontKey="{B6347708-3380-442B-A328-30C2C6C773B5}"/>
  </w:font>
  <w:font w:name="Roboto">
    <w:panose1 w:val="02000000000000000000"/>
    <w:charset w:val="00"/>
    <w:family w:val="auto"/>
    <w:pitch w:val="variable"/>
    <w:sig w:usb0="E0000AFF" w:usb1="5000217F" w:usb2="00000021" w:usb3="00000000" w:csb0="0000019F" w:csb1="00000000"/>
    <w:embedRegular r:id="rId12" w:fontKey="{62E3CC9F-6693-4DDC-A796-A34E36CDCD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080A" w14:textId="77777777" w:rsidR="0002441C" w:rsidRDefault="0002441C">
    <w:pPr>
      <w:widowControl/>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377A" w14:textId="77777777" w:rsidR="006779F0" w:rsidRDefault="006779F0" w:rsidP="006779F0">
    <w:pPr>
      <w:widowControl/>
      <w:pBdr>
        <w:top w:val="nil"/>
        <w:left w:val="nil"/>
        <w:bottom w:val="nil"/>
        <w:right w:val="nil"/>
        <w:between w:val="nil"/>
      </w:pBdr>
      <w:rPr>
        <w:rFonts w:ascii="Calibri" w:eastAsia="Calibri" w:hAnsi="Calibri" w:cs="Calibri"/>
        <w:color w:val="000000"/>
        <w:sz w:val="18"/>
        <w:szCs w:val="18"/>
      </w:rPr>
    </w:pP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 xml:space="preserve"> FILENAME \* MERGEFORMAT </w:instrText>
    </w:r>
    <w:r>
      <w:rPr>
        <w:rFonts w:ascii="Calibri" w:eastAsia="Calibri" w:hAnsi="Calibri" w:cs="Calibri"/>
        <w:color w:val="000000"/>
        <w:sz w:val="18"/>
        <w:szCs w:val="18"/>
      </w:rPr>
      <w:fldChar w:fldCharType="separate"/>
    </w:r>
    <w:r>
      <w:rPr>
        <w:rFonts w:ascii="Calibri" w:eastAsia="Calibri" w:hAnsi="Calibri" w:cs="Calibri"/>
        <w:noProof/>
        <w:color w:val="000000"/>
        <w:sz w:val="18"/>
        <w:szCs w:val="18"/>
      </w:rPr>
      <w:t>HS  2025-26 LGB Term 3 4.2.26 Minutes Draft 2</w:t>
    </w:r>
    <w:r>
      <w:rPr>
        <w:rFonts w:ascii="Calibri" w:eastAsia="Calibri" w:hAnsi="Calibri" w:cs="Calibri"/>
        <w:color w:val="000000"/>
        <w:sz w:val="18"/>
        <w:szCs w:val="18"/>
      </w:rPr>
      <w:fldChar w:fldCharType="end"/>
    </w:r>
  </w:p>
  <w:p w14:paraId="6DF0F3D5" w14:textId="2F74821C" w:rsidR="0002441C" w:rsidRDefault="00000000">
    <w:pPr>
      <w:widowControl/>
      <w:pBdr>
        <w:top w:val="nil"/>
        <w:left w:val="nil"/>
        <w:bottom w:val="nil"/>
        <w:right w:val="nil"/>
        <w:between w:val="nil"/>
      </w:pBdr>
      <w:jc w:val="right"/>
      <w:rPr>
        <w:rFonts w:ascii="Calibri" w:eastAsia="Calibri" w:hAnsi="Calibri" w:cs="Calibri"/>
        <w:color w:val="000000"/>
        <w:sz w:val="18"/>
        <w:szCs w:val="18"/>
      </w:rPr>
    </w:pPr>
    <w:r>
      <w:rPr>
        <w:rFonts w:ascii="Calibri" w:eastAsia="Calibri" w:hAnsi="Calibri" w:cs="Calibri"/>
        <w:color w:val="000000"/>
        <w:sz w:val="18"/>
        <w:szCs w:val="18"/>
      </w:rPr>
      <w:t xml:space="preserve">Page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PAGE</w:instrText>
    </w:r>
    <w:r>
      <w:rPr>
        <w:rFonts w:ascii="Calibri" w:eastAsia="Calibri" w:hAnsi="Calibri" w:cs="Calibri"/>
        <w:b/>
        <w:bCs/>
        <w:color w:val="000000"/>
        <w:sz w:val="18"/>
        <w:szCs w:val="18"/>
      </w:rPr>
      <w:fldChar w:fldCharType="separate"/>
    </w:r>
    <w:r w:rsidR="009F6190">
      <w:rPr>
        <w:rFonts w:ascii="Calibri" w:eastAsia="Calibri" w:hAnsi="Calibri" w:cs="Calibri"/>
        <w:b/>
        <w:bCs/>
        <w:noProof/>
        <w:color w:val="000000"/>
        <w:sz w:val="18"/>
        <w:szCs w:val="18"/>
      </w:rPr>
      <w:t>2</w:t>
    </w:r>
    <w:r>
      <w:rPr>
        <w:rFonts w:ascii="Calibri" w:eastAsia="Calibri" w:hAnsi="Calibri" w:cs="Calibri"/>
        <w:b/>
        <w:bCs/>
        <w:color w:val="000000"/>
        <w:sz w:val="18"/>
        <w:szCs w:val="18"/>
      </w:rPr>
      <w:fldChar w:fldCharType="end"/>
    </w:r>
    <w:r>
      <w:rPr>
        <w:rFonts w:ascii="Calibri" w:eastAsia="Calibri" w:hAnsi="Calibri" w:cs="Calibri"/>
        <w:color w:val="000000"/>
        <w:sz w:val="18"/>
        <w:szCs w:val="18"/>
      </w:rPr>
      <w:t xml:space="preserve"> of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NUMPAGES</w:instrText>
    </w:r>
    <w:r>
      <w:rPr>
        <w:rFonts w:ascii="Calibri" w:eastAsia="Calibri" w:hAnsi="Calibri" w:cs="Calibri"/>
        <w:b/>
        <w:bCs/>
        <w:color w:val="000000"/>
        <w:sz w:val="18"/>
        <w:szCs w:val="18"/>
      </w:rPr>
      <w:fldChar w:fldCharType="separate"/>
    </w:r>
    <w:r w:rsidR="009F6190">
      <w:rPr>
        <w:rFonts w:ascii="Calibri" w:eastAsia="Calibri" w:hAnsi="Calibri" w:cs="Calibri"/>
        <w:b/>
        <w:bCs/>
        <w:noProof/>
        <w:color w:val="000000"/>
        <w:sz w:val="18"/>
        <w:szCs w:val="18"/>
      </w:rPr>
      <w:t>3</w:t>
    </w:r>
    <w:r>
      <w:rPr>
        <w:rFonts w:ascii="Calibri" w:eastAsia="Calibri" w:hAnsi="Calibri" w:cs="Calibri"/>
        <w:b/>
        <w:bCs/>
        <w:color w:val="000000"/>
        <w:sz w:val="18"/>
        <w:szCs w:val="18"/>
      </w:rPr>
      <w:fldChar w:fldCharType="end"/>
    </w:r>
  </w:p>
  <w:p w14:paraId="4FC73368" w14:textId="77777777" w:rsidR="0002441C" w:rsidRDefault="0002441C">
    <w:pPr>
      <w:tabs>
        <w:tab w:val="center" w:pos="4320"/>
        <w:tab w:val="right" w:pos="8640"/>
      </w:tabs>
      <w:jc w:val="right"/>
      <w:rPr>
        <w:rFonts w:ascii="Montserrat" w:eastAsia="Montserrat" w:hAnsi="Montserrat" w:cs="Montserrat"/>
        <w:color w:val="000000"/>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06EE2" w14:textId="77777777" w:rsidR="0002441C" w:rsidRDefault="0002441C">
    <w:pPr>
      <w:widowControl/>
      <w:pBdr>
        <w:top w:val="nil"/>
        <w:left w:val="nil"/>
        <w:bottom w:val="nil"/>
        <w:right w:val="nil"/>
        <w:between w:val="nil"/>
      </w:pBdr>
      <w:jc w:val="right"/>
      <w:rPr>
        <w:color w:val="000000"/>
      </w:rPr>
    </w:pPr>
  </w:p>
  <w:p w14:paraId="078C2860" w14:textId="77777777" w:rsidR="006779F0" w:rsidRDefault="006779F0" w:rsidP="006779F0">
    <w:pPr>
      <w:widowControl/>
      <w:pBdr>
        <w:top w:val="nil"/>
        <w:left w:val="nil"/>
        <w:bottom w:val="nil"/>
        <w:right w:val="nil"/>
        <w:between w:val="nil"/>
      </w:pBdr>
      <w:rPr>
        <w:rFonts w:ascii="Calibri" w:eastAsia="Calibri" w:hAnsi="Calibri" w:cs="Calibri"/>
        <w:color w:val="000000"/>
        <w:sz w:val="18"/>
        <w:szCs w:val="18"/>
      </w:rPr>
    </w:pP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 xml:space="preserve"> FILENAME \* MERGEFORMAT </w:instrText>
    </w:r>
    <w:r>
      <w:rPr>
        <w:rFonts w:ascii="Calibri" w:eastAsia="Calibri" w:hAnsi="Calibri" w:cs="Calibri"/>
        <w:color w:val="000000"/>
        <w:sz w:val="18"/>
        <w:szCs w:val="18"/>
      </w:rPr>
      <w:fldChar w:fldCharType="separate"/>
    </w:r>
    <w:r>
      <w:rPr>
        <w:rFonts w:ascii="Calibri" w:eastAsia="Calibri" w:hAnsi="Calibri" w:cs="Calibri"/>
        <w:noProof/>
        <w:color w:val="000000"/>
        <w:sz w:val="18"/>
        <w:szCs w:val="18"/>
      </w:rPr>
      <w:t>HS  2025-26 LGB Term 3 4.2.26 Minutes Draft 2</w:t>
    </w:r>
    <w:r>
      <w:rPr>
        <w:rFonts w:ascii="Calibri" w:eastAsia="Calibri" w:hAnsi="Calibri" w:cs="Calibri"/>
        <w:color w:val="000000"/>
        <w:sz w:val="18"/>
        <w:szCs w:val="18"/>
      </w:rPr>
      <w:fldChar w:fldCharType="end"/>
    </w:r>
  </w:p>
  <w:p w14:paraId="1BC03A34" w14:textId="2E3A2437" w:rsidR="0002441C" w:rsidRDefault="00000000">
    <w:pPr>
      <w:widowControl/>
      <w:pBdr>
        <w:top w:val="nil"/>
        <w:left w:val="nil"/>
        <w:bottom w:val="nil"/>
        <w:right w:val="nil"/>
        <w:between w:val="nil"/>
      </w:pBdr>
      <w:jc w:val="right"/>
      <w:rPr>
        <w:color w:val="000000"/>
      </w:rPr>
    </w:pPr>
    <w:r>
      <w:rPr>
        <w:rFonts w:ascii="Calibri" w:eastAsia="Calibri" w:hAnsi="Calibri" w:cs="Calibri"/>
        <w:color w:val="000000"/>
        <w:sz w:val="18"/>
        <w:szCs w:val="18"/>
      </w:rPr>
      <w:t xml:space="preserve">Page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PAGE</w:instrText>
    </w:r>
    <w:r>
      <w:rPr>
        <w:rFonts w:ascii="Calibri" w:eastAsia="Calibri" w:hAnsi="Calibri" w:cs="Calibri"/>
        <w:b/>
        <w:bCs/>
        <w:color w:val="000000"/>
        <w:sz w:val="18"/>
        <w:szCs w:val="18"/>
      </w:rPr>
      <w:fldChar w:fldCharType="separate"/>
    </w:r>
    <w:r w:rsidR="009F6190">
      <w:rPr>
        <w:rFonts w:ascii="Calibri" w:eastAsia="Calibri" w:hAnsi="Calibri" w:cs="Calibri"/>
        <w:b/>
        <w:bCs/>
        <w:noProof/>
        <w:color w:val="000000"/>
        <w:sz w:val="18"/>
        <w:szCs w:val="18"/>
      </w:rPr>
      <w:t>1</w:t>
    </w:r>
    <w:r>
      <w:rPr>
        <w:rFonts w:ascii="Calibri" w:eastAsia="Calibri" w:hAnsi="Calibri" w:cs="Calibri"/>
        <w:b/>
        <w:bCs/>
        <w:color w:val="000000"/>
        <w:sz w:val="18"/>
        <w:szCs w:val="18"/>
      </w:rPr>
      <w:fldChar w:fldCharType="end"/>
    </w:r>
    <w:r>
      <w:rPr>
        <w:rFonts w:ascii="Calibri" w:eastAsia="Calibri" w:hAnsi="Calibri" w:cs="Calibri"/>
        <w:color w:val="000000"/>
        <w:sz w:val="18"/>
        <w:szCs w:val="18"/>
      </w:rPr>
      <w:t xml:space="preserve"> of </w:t>
    </w:r>
    <w:r>
      <w:rPr>
        <w:rFonts w:ascii="Calibri" w:eastAsia="Calibri" w:hAnsi="Calibri" w:cs="Calibri"/>
        <w:b/>
        <w:bCs/>
        <w:color w:val="000000"/>
        <w:sz w:val="18"/>
        <w:szCs w:val="18"/>
      </w:rPr>
      <w:fldChar w:fldCharType="begin"/>
    </w:r>
    <w:r>
      <w:rPr>
        <w:rFonts w:ascii="Calibri" w:eastAsia="Calibri" w:hAnsi="Calibri" w:cs="Calibri"/>
        <w:b/>
        <w:bCs/>
        <w:color w:val="000000"/>
        <w:sz w:val="18"/>
        <w:szCs w:val="18"/>
      </w:rPr>
      <w:instrText>NUMPAGES</w:instrText>
    </w:r>
    <w:r>
      <w:rPr>
        <w:rFonts w:ascii="Calibri" w:eastAsia="Calibri" w:hAnsi="Calibri" w:cs="Calibri"/>
        <w:b/>
        <w:bCs/>
        <w:color w:val="000000"/>
        <w:sz w:val="18"/>
        <w:szCs w:val="18"/>
      </w:rPr>
      <w:fldChar w:fldCharType="separate"/>
    </w:r>
    <w:r w:rsidR="009F6190">
      <w:rPr>
        <w:rFonts w:ascii="Calibri" w:eastAsia="Calibri" w:hAnsi="Calibri" w:cs="Calibri"/>
        <w:b/>
        <w:bCs/>
        <w:noProof/>
        <w:color w:val="000000"/>
        <w:sz w:val="18"/>
        <w:szCs w:val="18"/>
      </w:rPr>
      <w:t>2</w:t>
    </w:r>
    <w:r>
      <w:rPr>
        <w:rFonts w:ascii="Calibri" w:eastAsia="Calibri" w:hAnsi="Calibri" w:cs="Calibri"/>
        <w:b/>
        <w:bCs/>
        <w:color w:val="000000"/>
        <w:sz w:val="18"/>
        <w:szCs w:val="18"/>
      </w:rPr>
      <w:fldChar w:fldCharType="end"/>
    </w:r>
  </w:p>
  <w:p w14:paraId="38858D4C" w14:textId="77777777" w:rsidR="0002441C" w:rsidRDefault="0002441C">
    <w:pPr>
      <w:tabs>
        <w:tab w:val="center" w:pos="4320"/>
        <w:tab w:val="right" w:pos="8640"/>
      </w:tabs>
      <w:jc w:val="right"/>
      <w:rPr>
        <w:rFonts w:ascii="Montserrat" w:eastAsia="Montserrat" w:hAnsi="Montserrat" w:cs="Montserrat"/>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257E9" w14:textId="77777777" w:rsidR="009F589D" w:rsidRDefault="009F589D">
      <w:r>
        <w:separator/>
      </w:r>
    </w:p>
  </w:footnote>
  <w:footnote w:type="continuationSeparator" w:id="0">
    <w:p w14:paraId="38F4DB3C" w14:textId="77777777" w:rsidR="009F589D" w:rsidRDefault="009F5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F66EB" w14:textId="77777777" w:rsidR="0002441C" w:rsidRDefault="0002441C">
    <w:pPr>
      <w:widowControl/>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8ACA3" w14:textId="77777777" w:rsidR="0002441C" w:rsidRDefault="0002441C">
    <w:pPr>
      <w:tabs>
        <w:tab w:val="center" w:pos="4320"/>
        <w:tab w:val="right" w:pos="8640"/>
      </w:tabs>
      <w:jc w:val="center"/>
      <w:rPr>
        <w:rFonts w:ascii="Montserrat" w:eastAsia="Montserrat" w:hAnsi="Montserrat" w:cs="Montserrat"/>
        <w:color w:val="000000"/>
        <w:sz w:val="20"/>
        <w:szCs w:val="20"/>
      </w:rPr>
    </w:pPr>
  </w:p>
  <w:p w14:paraId="4133D21D" w14:textId="77777777" w:rsidR="0002441C" w:rsidRDefault="0002441C">
    <w:pPr>
      <w:tabs>
        <w:tab w:val="center" w:pos="4320"/>
        <w:tab w:val="right" w:pos="8640"/>
      </w:tabs>
      <w:jc w:val="center"/>
      <w:rPr>
        <w:rFonts w:ascii="Montserrat" w:eastAsia="Montserrat" w:hAnsi="Montserrat" w:cs="Montserrat"/>
        <w:color w:val="000000"/>
        <w:sz w:val="20"/>
        <w:szCs w:val="20"/>
      </w:rPr>
    </w:pPr>
  </w:p>
  <w:p w14:paraId="7C1087C3" w14:textId="77777777" w:rsidR="0002441C" w:rsidRDefault="0002441C">
    <w:pPr>
      <w:tabs>
        <w:tab w:val="center" w:pos="4320"/>
        <w:tab w:val="right" w:pos="8640"/>
      </w:tabs>
      <w:jc w:val="center"/>
      <w:rPr>
        <w:rFonts w:ascii="Montserrat" w:eastAsia="Montserrat" w:hAnsi="Montserrat" w:cs="Montserrat"/>
        <w:color w:val="000000"/>
        <w:sz w:val="20"/>
        <w:szCs w:val="20"/>
      </w:rPr>
    </w:pPr>
  </w:p>
  <w:p w14:paraId="21352CE4" w14:textId="77777777" w:rsidR="0002441C" w:rsidRDefault="00000000">
    <w:pPr>
      <w:tabs>
        <w:tab w:val="center" w:pos="4320"/>
        <w:tab w:val="right" w:pos="8640"/>
      </w:tabs>
      <w:jc w:val="center"/>
      <w:rPr>
        <w:rFonts w:ascii="Montserrat" w:eastAsia="Montserrat" w:hAnsi="Montserrat" w:cs="Montserrat"/>
        <w:color w:val="000000"/>
        <w:sz w:val="20"/>
        <w:szCs w:val="20"/>
      </w:rPr>
    </w:pPr>
    <w:r>
      <w:rPr>
        <w:rFonts w:ascii="Montserrat" w:eastAsia="Montserrat" w:hAnsi="Montserrat" w:cs="Montserrat"/>
        <w:color w:val="00000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A9166" w14:textId="77777777" w:rsidR="0002441C" w:rsidRDefault="00000000">
    <w:pPr>
      <w:widowControl/>
      <w:pBdr>
        <w:top w:val="nil"/>
        <w:left w:val="nil"/>
        <w:bottom w:val="nil"/>
        <w:right w:val="nil"/>
        <w:between w:val="nil"/>
      </w:pBdr>
      <w:jc w:val="center"/>
      <w:rPr>
        <w:color w:val="000000"/>
      </w:rPr>
    </w:pPr>
    <w:r>
      <w:rPr>
        <w:noProof/>
        <w:color w:val="000000"/>
      </w:rPr>
      <w:drawing>
        <wp:inline distT="0" distB="0" distL="0" distR="0" wp14:anchorId="27D3A520" wp14:editId="7D727F4F">
          <wp:extent cx="1078865" cy="1261745"/>
          <wp:effectExtent l="0" t="0" r="0" b="0"/>
          <wp:docPr id="18924908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78865" cy="1261745"/>
                  </a:xfrm>
                  <a:prstGeom prst="rect">
                    <a:avLst/>
                  </a:prstGeom>
                  <a:ln/>
                </pic:spPr>
              </pic:pic>
            </a:graphicData>
          </a:graphic>
        </wp:inline>
      </w:drawing>
    </w:r>
    <w:r>
      <w:rPr>
        <w:color w:val="000000"/>
      </w:rPr>
      <w:t xml:space="preserve">       </w:t>
    </w:r>
    <w:r>
      <w:rPr>
        <w:noProof/>
        <w:color w:val="000000"/>
      </w:rPr>
      <w:drawing>
        <wp:inline distT="0" distB="0" distL="0" distR="0" wp14:anchorId="2C8AECDE" wp14:editId="68ADBB2A">
          <wp:extent cx="1945005" cy="871855"/>
          <wp:effectExtent l="0" t="0" r="0" b="0"/>
          <wp:docPr id="18924908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945005" cy="871855"/>
                  </a:xfrm>
                  <a:prstGeom prst="rect">
                    <a:avLst/>
                  </a:prstGeom>
                  <a:ln/>
                </pic:spPr>
              </pic:pic>
            </a:graphicData>
          </a:graphic>
        </wp:inline>
      </w:drawing>
    </w:r>
    <w:r>
      <w:rPr>
        <w:color w:val="000000"/>
      </w:rPr>
      <w:t xml:space="preserve">      </w:t>
    </w:r>
    <w:r>
      <w:rPr>
        <w:noProof/>
        <w:color w:val="000000"/>
      </w:rPr>
      <w:drawing>
        <wp:inline distT="0" distB="0" distL="0" distR="0" wp14:anchorId="6BF23523" wp14:editId="45ED7BB9">
          <wp:extent cx="1889760" cy="1024255"/>
          <wp:effectExtent l="0" t="0" r="0" b="0"/>
          <wp:docPr id="18924908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889760" cy="102425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41C"/>
    <w:rsid w:val="0002441C"/>
    <w:rsid w:val="003764DE"/>
    <w:rsid w:val="006779F0"/>
    <w:rsid w:val="008F3593"/>
    <w:rsid w:val="009F589D"/>
    <w:rsid w:val="009F6190"/>
    <w:rsid w:val="00C73A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F3160"/>
  <w15:docId w15:val="{B7D1FC98-D230-49C4-808B-9719DD1B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tabs>
        <w:tab w:val="center" w:pos="3600"/>
        <w:tab w:val="right" w:pos="8640"/>
      </w:tabs>
      <w:jc w:val="center"/>
      <w:outlineLvl w:val="0"/>
    </w:pPr>
    <w:rPr>
      <w:rFonts w:ascii="Montserrat" w:eastAsia="Montserrat" w:hAnsi="Montserrat" w:cs="Montserrat"/>
      <w:b/>
      <w:bCs/>
      <w:color w:val="000000"/>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rFonts w:ascii="Montserrat" w:eastAsia="Montserrat" w:hAnsi="Montserrat" w:cs="Montserrat"/>
      <w:b/>
      <w:bCs/>
      <w:color w:val="000000"/>
      <w:sz w:val="22"/>
      <w:szCs w:val="22"/>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rFonts w:ascii="Montserrat" w:eastAsia="Montserrat" w:hAnsi="Montserrat" w:cs="Montserrat"/>
      <w:b/>
      <w:bCs/>
      <w:color w:val="000000"/>
      <w:sz w:val="22"/>
      <w:szCs w:val="22"/>
    </w:rPr>
  </w:style>
  <w:style w:type="paragraph" w:styleId="Heading4">
    <w:name w:val="heading 4"/>
    <w:basedOn w:val="Normal"/>
    <w:next w:val="Normal"/>
    <w:uiPriority w:val="9"/>
    <w:semiHidden/>
    <w:unhideWhenUsed/>
    <w:qFormat/>
    <w:pPr>
      <w:keepNext/>
      <w:keepLines/>
      <w:pBdr>
        <w:top w:val="nil"/>
        <w:left w:val="nil"/>
        <w:bottom w:val="nil"/>
        <w:right w:val="nil"/>
        <w:between w:val="nil"/>
      </w:pBdr>
      <w:outlineLvl w:val="3"/>
    </w:pPr>
    <w:rPr>
      <w:rFonts w:ascii="Montserrat" w:eastAsia="Montserrat" w:hAnsi="Montserrat" w:cs="Montserrat"/>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outlineLvl w:val="4"/>
    </w:pPr>
    <w:rPr>
      <w:rFonts w:ascii="Montserrat" w:eastAsia="Montserrat" w:hAnsi="Montserrat" w:cs="Montserrat"/>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outlineLvl w:val="5"/>
    </w:pPr>
    <w:rPr>
      <w:rFonts w:ascii="Montserrat" w:eastAsia="Montserrat" w:hAnsi="Montserrat" w:cs="Montserrat"/>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paragraph" w:customStyle="1" w:styleId="Heading">
    <w:name w:val="Heading"/>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pPr>
      <w:spacing w:line="276" w:lineRule="auto"/>
    </w:pPr>
    <w:rPr>
      <w:rFonts w:ascii="Montserrat" w:hAnsi="Montserrat"/>
    </w:rPr>
  </w:style>
  <w:style w:type="paragraph" w:styleId="List">
    <w:name w:val="List"/>
    <w:basedOn w:val="BodyText"/>
    <w:rPr>
      <w:rFonts w:cs="Noto Sans Devanagari"/>
    </w:rPr>
  </w:style>
  <w:style w:type="paragraph" w:styleId="Caption">
    <w:name w:val="caption"/>
    <w:qFormat/>
    <w:pPr>
      <w:suppressLineNumbers/>
      <w:spacing w:before="120" w:after="120"/>
    </w:pPr>
    <w:rPr>
      <w:rFonts w:cs="Noto Sans Devanagari"/>
      <w:i/>
      <w:iCs/>
    </w:rPr>
  </w:style>
  <w:style w:type="paragraph" w:customStyle="1" w:styleId="Index">
    <w:name w:val="Index"/>
    <w:qFormat/>
    <w:pPr>
      <w:suppressLineNumbers/>
    </w:pPr>
    <w:rPr>
      <w:rFonts w:cs="Noto Sans Devanagari"/>
    </w:rPr>
  </w:style>
  <w:style w:type="paragraph" w:customStyle="1" w:styleId="normal111">
    <w:name w:val="normal111"/>
    <w:qFormat/>
    <w:rPr>
      <w:lang w:val="en-GB"/>
    </w:rPr>
  </w:style>
  <w:style w:type="paragraph" w:styleId="CommentText">
    <w:name w:val="annotation text"/>
    <w:basedOn w:val="normal111"/>
    <w:link w:val="CommentTextChar"/>
    <w:uiPriority w:val="99"/>
    <w:semiHidden/>
    <w:unhideWhenUsed/>
    <w:rPr>
      <w:sz w:val="20"/>
      <w:szCs w:val="20"/>
    </w:rPr>
  </w:style>
  <w:style w:type="paragraph" w:styleId="Revision">
    <w:name w:val="Revision"/>
    <w:uiPriority w:val="99"/>
    <w:semiHidden/>
    <w:qFormat/>
    <w:rsid w:val="001B55BC"/>
    <w:rPr>
      <w:lang w:val="en-GB"/>
    </w:rPr>
  </w:style>
  <w:style w:type="paragraph" w:customStyle="1" w:styleId="HeaderandFooter">
    <w:name w:val="Header and Footer"/>
    <w:qFormat/>
  </w:style>
  <w:style w:type="paragraph" w:styleId="Header">
    <w:name w:val="header"/>
    <w:basedOn w:val="HeaderandFooter"/>
  </w:style>
  <w:style w:type="paragraph" w:styleId="Footer">
    <w:name w:val="footer"/>
    <w:basedOn w:val="HeaderandFooter"/>
    <w:link w:val="FooterChar"/>
    <w:uiPriority w:val="99"/>
  </w:style>
  <w:style w:type="paragraph" w:customStyle="1" w:styleId="TableContents">
    <w:name w:val="Table Contents"/>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qFormat/>
  </w:style>
  <w:style w:type="paragraph" w:customStyle="1" w:styleId="normal11">
    <w:name w:val="normal11"/>
    <w:qFormat/>
    <w:rPr>
      <w:lang w:val="en-GB"/>
    </w:r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character" w:customStyle="1" w:styleId="FooterChar">
    <w:name w:val="Footer Char"/>
    <w:basedOn w:val="DefaultParagraphFont"/>
    <w:link w:val="Footer"/>
    <w:uiPriority w:val="99"/>
    <w:rsid w:val="009F6874"/>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AtGj8J8//5bMkHKtWWdycs5FTg==">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5361</Words>
  <Characters>29143</Characters>
  <Application>Microsoft Office Word</Application>
  <DocSecurity>0</DocSecurity>
  <Lines>765</Lines>
  <Paragraphs>381</Paragraphs>
  <ScaleCrop>false</ScaleCrop>
  <Company/>
  <LinksUpToDate>false</LinksUpToDate>
  <CharactersWithSpaces>34169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Bremner</dc:creator>
  <cp:lastModifiedBy>Janet Bremner</cp:lastModifiedBy>
  <cp:revision>4</cp:revision>
  <dcterms:created xsi:type="dcterms:W3CDTF">2026-02-12T08:25:00Z</dcterms:created>
  <dcterms:modified xsi:type="dcterms:W3CDTF">2026-02-12T08:41:00Z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0x01010065BBECDB87018A43939A283F43957D73</vt:lpwstr>
  </property>
  <property fmtid="{D5CDD505-2E9C-101B-9397-08002B2CF9AE}" pid="3" name="MediaServiceImageTags">
    <vt:lpwstr/>
  </property>
</Properties>
</file>